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9100B" w14:textId="56EA1D50" w:rsidR="00AE6F33" w:rsidRDefault="00AE234C" w:rsidP="00AE6F33">
      <w:pPr>
        <w:jc w:val="center"/>
        <w:rPr>
          <w:b/>
          <w:sz w:val="28"/>
          <w:szCs w:val="28"/>
        </w:rPr>
      </w:pPr>
      <w:r w:rsidRPr="00AB3F89">
        <w:rPr>
          <w:b/>
          <w:sz w:val="28"/>
          <w:szCs w:val="28"/>
        </w:rPr>
        <w:t>Raman vibrational signatures of excited states of echinenone in the Orange Carotenoid Protein (OCP) and implications for its photoactivation mechanism</w:t>
      </w:r>
    </w:p>
    <w:p w14:paraId="33397586" w14:textId="77777777" w:rsidR="00AE6F33" w:rsidRDefault="00AE6F33" w:rsidP="00AE6F33">
      <w:pPr>
        <w:spacing w:line="360" w:lineRule="auto"/>
        <w:jc w:val="center"/>
        <w:rPr>
          <w:b/>
          <w:sz w:val="28"/>
          <w:szCs w:val="28"/>
        </w:rPr>
      </w:pPr>
      <w:r>
        <w:rPr>
          <w:b/>
          <w:sz w:val="28"/>
          <w:szCs w:val="28"/>
        </w:rPr>
        <w:t>Supporting information</w:t>
      </w:r>
    </w:p>
    <w:p w14:paraId="3E5E755D" w14:textId="77777777" w:rsidR="00AE6F33" w:rsidRPr="00240559" w:rsidRDefault="00AE6F33" w:rsidP="00AE6F33">
      <w:pPr>
        <w:spacing w:line="360" w:lineRule="auto"/>
        <w:jc w:val="center"/>
        <w:rPr>
          <w:b/>
          <w:sz w:val="28"/>
          <w:szCs w:val="28"/>
        </w:rPr>
      </w:pPr>
    </w:p>
    <w:p w14:paraId="0A7BA0C6" w14:textId="6FDD9D9A" w:rsidR="005B437E" w:rsidRPr="004A3E3C" w:rsidRDefault="005B437E" w:rsidP="005B437E">
      <w:pPr>
        <w:spacing w:line="360" w:lineRule="auto"/>
        <w:rPr>
          <w:bCs/>
        </w:rPr>
      </w:pPr>
      <w:r>
        <w:rPr>
          <w:bCs/>
        </w:rPr>
        <w:t xml:space="preserve">Petra </w:t>
      </w:r>
      <w:r w:rsidR="003509A0">
        <w:rPr>
          <w:bCs/>
        </w:rPr>
        <w:t>Chrup</w:t>
      </w:r>
      <w:bookmarkStart w:id="0" w:name="_GoBack"/>
      <w:bookmarkEnd w:id="0"/>
      <w:r>
        <w:rPr>
          <w:bCs/>
        </w:rPr>
        <w:t>ková</w:t>
      </w:r>
      <w:r w:rsidRPr="00C55C73">
        <w:rPr>
          <w:bCs/>
          <w:vertAlign w:val="superscript"/>
        </w:rPr>
        <w:t>1</w:t>
      </w:r>
      <w:r>
        <w:rPr>
          <w:bCs/>
          <w:vertAlign w:val="superscript"/>
        </w:rPr>
        <w:t>,2</w:t>
      </w:r>
      <w:r>
        <w:rPr>
          <w:bCs/>
        </w:rPr>
        <w:t xml:space="preserve">, Ivo </w:t>
      </w:r>
      <w:r w:rsidR="00366F48">
        <w:rPr>
          <w:bCs/>
        </w:rPr>
        <w:t xml:space="preserve">H.M. </w:t>
      </w:r>
      <w:r>
        <w:rPr>
          <w:bCs/>
        </w:rPr>
        <w:t>van Stokkum</w:t>
      </w:r>
      <w:r>
        <w:rPr>
          <w:bCs/>
          <w:vertAlign w:val="superscript"/>
        </w:rPr>
        <w:t>3</w:t>
      </w:r>
      <w:r>
        <w:rPr>
          <w:bCs/>
        </w:rPr>
        <w:t>,</w:t>
      </w:r>
      <w:r>
        <w:rPr>
          <w:bCs/>
          <w:vertAlign w:val="superscript"/>
        </w:rPr>
        <w:t xml:space="preserve"> </w:t>
      </w:r>
      <w:r>
        <w:rPr>
          <w:bCs/>
        </w:rPr>
        <w:t>Thomas Friedrich</w:t>
      </w:r>
      <w:r>
        <w:rPr>
          <w:bCs/>
          <w:vertAlign w:val="superscript"/>
        </w:rPr>
        <w:t>4</w:t>
      </w:r>
      <w:r>
        <w:rPr>
          <w:bCs/>
        </w:rPr>
        <w:t xml:space="preserve">, </w:t>
      </w:r>
      <w:r>
        <w:rPr>
          <w:lang w:val="en-GB"/>
        </w:rPr>
        <w:t>Marcus Moldenhauer</w:t>
      </w:r>
      <w:r>
        <w:rPr>
          <w:bCs/>
          <w:vertAlign w:val="superscript"/>
        </w:rPr>
        <w:t>4</w:t>
      </w:r>
      <w:r>
        <w:rPr>
          <w:lang w:val="en-GB"/>
        </w:rPr>
        <w:t>,</w:t>
      </w:r>
      <w:r>
        <w:rPr>
          <w:bCs/>
        </w:rPr>
        <w:t xml:space="preserve"> </w:t>
      </w:r>
      <w:proofErr w:type="spellStart"/>
      <w:r>
        <w:t>Nediljko</w:t>
      </w:r>
      <w:proofErr w:type="spellEnd"/>
      <w:r>
        <w:t xml:space="preserve"> Budisa</w:t>
      </w:r>
      <w:r>
        <w:rPr>
          <w:vertAlign w:val="superscript"/>
        </w:rPr>
        <w:t>5</w:t>
      </w:r>
      <w:r>
        <w:t>,</w:t>
      </w:r>
      <w:r>
        <w:rPr>
          <w:bCs/>
        </w:rPr>
        <w:t xml:space="preserve"> </w:t>
      </w:r>
      <w:r>
        <w:rPr>
          <w:lang w:val="en-GB"/>
        </w:rPr>
        <w:t>Hsueh-Wei Tseng</w:t>
      </w:r>
      <w:r>
        <w:rPr>
          <w:vertAlign w:val="superscript"/>
          <w:lang w:val="en-GB"/>
        </w:rPr>
        <w:t>5</w:t>
      </w:r>
      <w:r>
        <w:rPr>
          <w:lang w:val="en-GB"/>
        </w:rPr>
        <w:t>,</w:t>
      </w:r>
      <w:r>
        <w:rPr>
          <w:bCs/>
        </w:rPr>
        <w:t xml:space="preserve"> Tomáš Polívka</w:t>
      </w:r>
      <w:r>
        <w:rPr>
          <w:bCs/>
          <w:vertAlign w:val="superscript"/>
        </w:rPr>
        <w:t>2</w:t>
      </w:r>
      <w:r>
        <w:rPr>
          <w:bCs/>
        </w:rPr>
        <w:t xml:space="preserve">, </w:t>
      </w:r>
      <w:r w:rsidRPr="008E3E9D">
        <w:rPr>
          <w:bCs/>
        </w:rPr>
        <w:t>Dmitry A. Cherepanov</w:t>
      </w:r>
      <w:r>
        <w:rPr>
          <w:bCs/>
          <w:vertAlign w:val="superscript"/>
        </w:rPr>
        <w:t>6,7</w:t>
      </w:r>
      <w:r>
        <w:rPr>
          <w:bCs/>
        </w:rPr>
        <w:t>, Eugene G. Maksimov</w:t>
      </w:r>
      <w:r>
        <w:rPr>
          <w:bCs/>
          <w:vertAlign w:val="superscript"/>
        </w:rPr>
        <w:t>7</w:t>
      </w:r>
      <w:r>
        <w:rPr>
          <w:bCs/>
        </w:rPr>
        <w:t>, Miroslav Kloz</w:t>
      </w:r>
      <w:r w:rsidRPr="00DC5609">
        <w:rPr>
          <w:bCs/>
          <w:vertAlign w:val="superscript"/>
        </w:rPr>
        <w:t>1</w:t>
      </w:r>
    </w:p>
    <w:p w14:paraId="43D37058" w14:textId="77777777" w:rsidR="005B437E" w:rsidRPr="00C039BE" w:rsidRDefault="005B437E" w:rsidP="005B437E">
      <w:pPr>
        <w:spacing w:line="360" w:lineRule="auto"/>
      </w:pPr>
      <w:r w:rsidRPr="00C039BE">
        <w:rPr>
          <w:vertAlign w:val="superscript"/>
        </w:rPr>
        <w:t>1</w:t>
      </w:r>
      <w:r w:rsidRPr="00C039BE">
        <w:t xml:space="preserve"> The Extreme Light Infrastructure ERIC, ELI Beamlines Facility, </w:t>
      </w:r>
      <w:proofErr w:type="spellStart"/>
      <w:r w:rsidRPr="00C039BE">
        <w:t>Za</w:t>
      </w:r>
      <w:proofErr w:type="spellEnd"/>
      <w:r w:rsidRPr="00C039BE">
        <w:t xml:space="preserve"> </w:t>
      </w:r>
      <w:proofErr w:type="spellStart"/>
      <w:r w:rsidRPr="00C039BE">
        <w:t>Radnicí</w:t>
      </w:r>
      <w:proofErr w:type="spellEnd"/>
      <w:r w:rsidRPr="00C039BE">
        <w:t xml:space="preserve"> 835, 252 41 </w:t>
      </w:r>
      <w:proofErr w:type="spellStart"/>
      <w:r w:rsidRPr="00C039BE">
        <w:t>Dolní</w:t>
      </w:r>
      <w:proofErr w:type="spellEnd"/>
      <w:r w:rsidRPr="00C039BE">
        <w:t xml:space="preserve"> Břežany, Czech Republic</w:t>
      </w:r>
    </w:p>
    <w:p w14:paraId="2189C473" w14:textId="77777777" w:rsidR="005B437E" w:rsidRPr="00C039BE" w:rsidRDefault="005B437E" w:rsidP="005B437E">
      <w:pPr>
        <w:spacing w:line="360" w:lineRule="auto"/>
      </w:pPr>
      <w:r w:rsidRPr="00C039BE">
        <w:rPr>
          <w:vertAlign w:val="superscript"/>
        </w:rPr>
        <w:t>2</w:t>
      </w:r>
      <w:r w:rsidRPr="00C039BE">
        <w:t xml:space="preserve"> University of South Bohemia in </w:t>
      </w:r>
      <w:proofErr w:type="spellStart"/>
      <w:r w:rsidRPr="00C039BE">
        <w:t>České</w:t>
      </w:r>
      <w:proofErr w:type="spellEnd"/>
      <w:r w:rsidRPr="00C039BE">
        <w:t xml:space="preserve"> </w:t>
      </w:r>
      <w:proofErr w:type="spellStart"/>
      <w:r w:rsidRPr="00C039BE">
        <w:t>Budějovice</w:t>
      </w:r>
      <w:proofErr w:type="spellEnd"/>
      <w:r w:rsidRPr="00C039BE">
        <w:t xml:space="preserve">, Faculty of Science, </w:t>
      </w:r>
      <w:proofErr w:type="spellStart"/>
      <w:r w:rsidRPr="00C039BE">
        <w:t>Branišovská</w:t>
      </w:r>
      <w:proofErr w:type="spellEnd"/>
      <w:r w:rsidRPr="00C039BE">
        <w:t xml:space="preserve"> 1645/31a, 370 05 </w:t>
      </w:r>
      <w:proofErr w:type="spellStart"/>
      <w:r w:rsidRPr="00C039BE">
        <w:t>České</w:t>
      </w:r>
      <w:proofErr w:type="spellEnd"/>
      <w:r w:rsidRPr="00C039BE">
        <w:t xml:space="preserve"> </w:t>
      </w:r>
      <w:proofErr w:type="spellStart"/>
      <w:r w:rsidRPr="00C039BE">
        <w:t>Budějovice</w:t>
      </w:r>
      <w:proofErr w:type="spellEnd"/>
    </w:p>
    <w:p w14:paraId="3D423982" w14:textId="77777777" w:rsidR="005B437E" w:rsidRPr="00C039BE" w:rsidRDefault="005B437E" w:rsidP="005B437E">
      <w:pPr>
        <w:spacing w:line="360" w:lineRule="auto"/>
      </w:pPr>
      <w:r w:rsidRPr="00C039BE">
        <w:rPr>
          <w:vertAlign w:val="superscript"/>
        </w:rPr>
        <w:t>3</w:t>
      </w:r>
      <w:r w:rsidRPr="00C039BE">
        <w:t xml:space="preserve"> </w:t>
      </w:r>
      <w:proofErr w:type="spellStart"/>
      <w:r w:rsidRPr="00DC5609">
        <w:rPr>
          <w:lang w:val="en-GB"/>
        </w:rPr>
        <w:t>Vrije</w:t>
      </w:r>
      <w:proofErr w:type="spellEnd"/>
      <w:r w:rsidRPr="00DC5609">
        <w:rPr>
          <w:lang w:val="en-GB"/>
        </w:rPr>
        <w:t xml:space="preserve"> </w:t>
      </w:r>
      <w:proofErr w:type="spellStart"/>
      <w:r w:rsidRPr="00DC5609">
        <w:rPr>
          <w:lang w:val="en-GB"/>
        </w:rPr>
        <w:t>Universiteit</w:t>
      </w:r>
      <w:proofErr w:type="spellEnd"/>
      <w:r w:rsidRPr="00DC5609">
        <w:rPr>
          <w:lang w:val="en-GB"/>
        </w:rPr>
        <w:t>, Department of Physics and Astronomy, Faculty of Sciences,</w:t>
      </w:r>
      <w:r>
        <w:rPr>
          <w:lang w:val="en-GB"/>
        </w:rPr>
        <w:t xml:space="preserve"> </w:t>
      </w:r>
      <w:r w:rsidRPr="00DC5609">
        <w:rPr>
          <w:lang w:val="en-GB"/>
        </w:rPr>
        <w:t xml:space="preserve">De </w:t>
      </w:r>
      <w:proofErr w:type="spellStart"/>
      <w:r w:rsidRPr="00DC5609">
        <w:rPr>
          <w:lang w:val="en-GB"/>
        </w:rPr>
        <w:t>Boelelaan</w:t>
      </w:r>
      <w:proofErr w:type="spellEnd"/>
      <w:r w:rsidRPr="00DC5609">
        <w:rPr>
          <w:lang w:val="en-GB"/>
        </w:rPr>
        <w:t xml:space="preserve"> 1081, 1081HV Amsterdam, </w:t>
      </w:r>
      <w:proofErr w:type="gramStart"/>
      <w:r w:rsidRPr="00DC5609">
        <w:rPr>
          <w:lang w:val="en-GB"/>
        </w:rPr>
        <w:t>The</w:t>
      </w:r>
      <w:proofErr w:type="gramEnd"/>
      <w:r w:rsidRPr="00DC5609">
        <w:rPr>
          <w:lang w:val="en-GB"/>
        </w:rPr>
        <w:t xml:space="preserve"> Netherlands</w:t>
      </w:r>
    </w:p>
    <w:p w14:paraId="30A4FFE0" w14:textId="77777777" w:rsidR="005B437E" w:rsidRDefault="005B437E" w:rsidP="005B437E">
      <w:pPr>
        <w:spacing w:line="360" w:lineRule="auto"/>
        <w:rPr>
          <w:lang w:val="en-GB"/>
        </w:rPr>
      </w:pPr>
      <w:r w:rsidRPr="00C039BE">
        <w:rPr>
          <w:vertAlign w:val="superscript"/>
          <w:lang w:val="de-DE"/>
        </w:rPr>
        <w:t>4</w:t>
      </w:r>
      <w:r w:rsidRPr="00C039BE">
        <w:rPr>
          <w:lang w:val="de-DE"/>
        </w:rPr>
        <w:t xml:space="preserve"> Technische Universität Berlin, Institute </w:t>
      </w:r>
      <w:proofErr w:type="spellStart"/>
      <w:r w:rsidRPr="00C039BE">
        <w:rPr>
          <w:lang w:val="de-DE"/>
        </w:rPr>
        <w:t>of</w:t>
      </w:r>
      <w:proofErr w:type="spellEnd"/>
      <w:r w:rsidRPr="00C039BE">
        <w:rPr>
          <w:lang w:val="de-DE"/>
        </w:rPr>
        <w:t xml:space="preserve"> Chemistry PC 14, Straße des 17. </w:t>
      </w:r>
      <w:proofErr w:type="spellStart"/>
      <w:r w:rsidRPr="00BB7386">
        <w:rPr>
          <w:lang w:val="en-GB"/>
        </w:rPr>
        <w:t>Juni</w:t>
      </w:r>
      <w:proofErr w:type="spellEnd"/>
      <w:r w:rsidRPr="00BB7386">
        <w:rPr>
          <w:lang w:val="en-GB"/>
        </w:rPr>
        <w:t xml:space="preserve"> 135, 10623 Berlin, Germany</w:t>
      </w:r>
    </w:p>
    <w:p w14:paraId="44F91170" w14:textId="77777777" w:rsidR="005B437E" w:rsidRDefault="005B437E" w:rsidP="005B437E">
      <w:pPr>
        <w:spacing w:line="360" w:lineRule="auto"/>
        <w:rPr>
          <w:lang w:val="en-GB"/>
        </w:rPr>
      </w:pPr>
      <w:r>
        <w:rPr>
          <w:vertAlign w:val="superscript"/>
          <w:lang w:val="en-GB"/>
        </w:rPr>
        <w:t>5</w:t>
      </w:r>
      <w:r w:rsidRPr="00C55C73">
        <w:rPr>
          <w:lang w:val="en-GB"/>
        </w:rPr>
        <w:t xml:space="preserve"> </w:t>
      </w:r>
      <w:r w:rsidRPr="00017791">
        <w:rPr>
          <w:lang w:val="en-GB"/>
        </w:rPr>
        <w:t>University of Manitoba, Department of Chemistry, 144 Dysart Rd, 360 Parker Building, Winnipeg, MB R3T 2N2, Canada</w:t>
      </w:r>
    </w:p>
    <w:p w14:paraId="221EC018" w14:textId="77777777" w:rsidR="005B437E" w:rsidRDefault="005B437E" w:rsidP="005B437E">
      <w:pPr>
        <w:spacing w:line="360" w:lineRule="auto"/>
      </w:pPr>
      <w:r w:rsidRPr="008C6013">
        <w:rPr>
          <w:vertAlign w:val="superscript"/>
          <w:lang w:val="en-GB"/>
        </w:rPr>
        <w:t>6</w:t>
      </w:r>
      <w:r>
        <w:rPr>
          <w:lang w:val="en-GB"/>
        </w:rPr>
        <w:t xml:space="preserve"> </w:t>
      </w:r>
      <w:r w:rsidRPr="008C6013">
        <w:rPr>
          <w:lang w:val="en-GB"/>
        </w:rPr>
        <w:t xml:space="preserve">N.N. Semenov Federal Research </w:t>
      </w:r>
      <w:proofErr w:type="spellStart"/>
      <w:r w:rsidRPr="008C6013">
        <w:rPr>
          <w:lang w:val="en-GB"/>
        </w:rPr>
        <w:t>Center</w:t>
      </w:r>
      <w:proofErr w:type="spellEnd"/>
      <w:r w:rsidRPr="008C6013">
        <w:rPr>
          <w:lang w:val="en-GB"/>
        </w:rPr>
        <w:t xml:space="preserve"> for Chemical Physics, Russian Academy of Sciences, 142432 Moscow, </w:t>
      </w:r>
      <w:r>
        <w:t>Russian Federation</w:t>
      </w:r>
    </w:p>
    <w:p w14:paraId="10BC1A5C" w14:textId="77777777" w:rsidR="005B437E" w:rsidRDefault="005B437E" w:rsidP="005B437E">
      <w:pPr>
        <w:spacing w:line="360" w:lineRule="auto"/>
      </w:pPr>
      <w:r w:rsidRPr="007875C6">
        <w:rPr>
          <w:vertAlign w:val="superscript"/>
          <w:lang w:val="en-GB"/>
        </w:rPr>
        <w:t>7</w:t>
      </w:r>
      <w:r>
        <w:rPr>
          <w:lang w:val="en-GB"/>
        </w:rPr>
        <w:t xml:space="preserve"> </w:t>
      </w:r>
      <w:proofErr w:type="spellStart"/>
      <w:r>
        <w:rPr>
          <w:lang w:val="en-GB"/>
        </w:rPr>
        <w:t>Lomonosov</w:t>
      </w:r>
      <w:proofErr w:type="spellEnd"/>
      <w:r>
        <w:rPr>
          <w:lang w:val="en-GB"/>
        </w:rPr>
        <w:t xml:space="preserve"> </w:t>
      </w:r>
      <w:r w:rsidRPr="007875C6">
        <w:rPr>
          <w:lang w:val="en-GB"/>
        </w:rPr>
        <w:t>Moscow State University</w:t>
      </w:r>
      <w:r>
        <w:rPr>
          <w:lang w:val="en-GB"/>
        </w:rPr>
        <w:t xml:space="preserve">, </w:t>
      </w:r>
      <w:r w:rsidRPr="007875C6">
        <w:rPr>
          <w:lang w:val="en-GB"/>
        </w:rPr>
        <w:t xml:space="preserve">A.N. </w:t>
      </w:r>
      <w:proofErr w:type="spellStart"/>
      <w:r w:rsidRPr="007875C6">
        <w:rPr>
          <w:lang w:val="en-GB"/>
        </w:rPr>
        <w:t>Belozersky</w:t>
      </w:r>
      <w:proofErr w:type="spellEnd"/>
      <w:r w:rsidRPr="007875C6">
        <w:rPr>
          <w:lang w:val="en-GB"/>
        </w:rPr>
        <w:t xml:space="preserve"> Institute of Physical-Chemical Biology, 119991 Moscow, </w:t>
      </w:r>
      <w:r>
        <w:t>Russian Federation</w:t>
      </w:r>
    </w:p>
    <w:p w14:paraId="1B4BF365" w14:textId="77777777" w:rsidR="005B437E" w:rsidRDefault="005B437E" w:rsidP="005B437E">
      <w:pPr>
        <w:spacing w:line="360" w:lineRule="auto"/>
      </w:pPr>
      <w:r>
        <w:rPr>
          <w:vertAlign w:val="superscript"/>
          <w:lang w:val="en-GB"/>
        </w:rPr>
        <w:t>8</w:t>
      </w:r>
      <w:r w:rsidRPr="00C55C73">
        <w:rPr>
          <w:lang w:val="en-GB"/>
        </w:rPr>
        <w:t xml:space="preserve"> </w:t>
      </w:r>
      <w:proofErr w:type="spellStart"/>
      <w:r w:rsidRPr="00C55C73">
        <w:rPr>
          <w:lang w:val="en-GB"/>
        </w:rPr>
        <w:t>Lomonosov</w:t>
      </w:r>
      <w:proofErr w:type="spellEnd"/>
      <w:r w:rsidRPr="00C55C73">
        <w:rPr>
          <w:lang w:val="en-GB"/>
        </w:rPr>
        <w:t xml:space="preserve"> Moscow State University, Faculty of Biology, </w:t>
      </w:r>
      <w:proofErr w:type="spellStart"/>
      <w:r>
        <w:rPr>
          <w:lang w:val="en-GB"/>
        </w:rPr>
        <w:t>Vorobyovy</w:t>
      </w:r>
      <w:proofErr w:type="spellEnd"/>
      <w:r>
        <w:rPr>
          <w:lang w:val="en-GB"/>
        </w:rPr>
        <w:t xml:space="preserve"> Gory </w:t>
      </w:r>
      <w:r>
        <w:t>1-12, Moscow 119991, Russian Federation</w:t>
      </w:r>
    </w:p>
    <w:p w14:paraId="0F672916" w14:textId="77777777" w:rsidR="00062D4A" w:rsidRDefault="00062D4A"/>
    <w:p w14:paraId="039FE153" w14:textId="77777777" w:rsidR="00133845" w:rsidRDefault="00062D4A" w:rsidP="00062D4A">
      <w:pPr>
        <w:tabs>
          <w:tab w:val="left" w:pos="536"/>
        </w:tabs>
        <w:rPr>
          <w:noProof/>
        </w:rPr>
      </w:pPr>
      <w:r>
        <w:rPr>
          <w:noProof/>
        </w:rPr>
        <w:tab/>
      </w:r>
    </w:p>
    <w:p w14:paraId="6FD2FF4B" w14:textId="77777777" w:rsidR="00CB550C" w:rsidRDefault="00CB550C">
      <w:pPr>
        <w:rPr>
          <w:b/>
        </w:rPr>
      </w:pPr>
      <w:r>
        <w:rPr>
          <w:b/>
        </w:rPr>
        <w:br w:type="page"/>
      </w:r>
    </w:p>
    <w:p w14:paraId="2793E6B3" w14:textId="5CB3911D" w:rsidR="00133845" w:rsidRDefault="00133845" w:rsidP="00133845">
      <w:pPr>
        <w:rPr>
          <w:b/>
        </w:rPr>
      </w:pPr>
      <w:r w:rsidRPr="00F4514B">
        <w:rPr>
          <w:b/>
        </w:rPr>
        <w:lastRenderedPageBreak/>
        <w:t>Peak shapes in FSRS spectroscopy</w:t>
      </w:r>
    </w:p>
    <w:p w14:paraId="700627AF" w14:textId="05A8A30A" w:rsidR="00133845" w:rsidRDefault="00133845" w:rsidP="0064448D">
      <w:pPr>
        <w:spacing w:line="360" w:lineRule="auto"/>
        <w:jc w:val="both"/>
      </w:pPr>
      <w:r w:rsidRPr="002C51AD">
        <w:t xml:space="preserve">In classical Raman scattering, photons scattered with an energetic surplus must originate from an anti-Stokes process, characterized by extracting vibration energy from the molecule. Conversely, photons scattered with lower than input energy must originate from a Stokes process, where the molecule gains energy from the interaction. Additionally, there is only one possible resonance enhancement, and this is the resonance of the input wavelength with </w:t>
      </w:r>
      <w:r w:rsidR="00366F48">
        <w:t xml:space="preserve">the </w:t>
      </w:r>
      <w:r w:rsidRPr="002C51AD">
        <w:t>molecular absorption</w:t>
      </w:r>
      <w:r w:rsidR="005307BC">
        <w:fldChar w:fldCharType="begin" w:fldLock="1"/>
      </w:r>
      <w:r w:rsidR="009B2BB3">
        <w:instrText>ADDIN CSL_CITATION {"citationItems":[{"id":"ITEM-1","itemData":{"ISSN":"0003-7028","abstract":"Femtosecond stimulated Raman spectroscopy (FSRS) is a new technique that produces high-quality vibrational spectra free from background uorescen ce. FSRS combines a narrow-bandwidth pi-cosecond Raman pump pulse with an ;80 fs continuum probe pulse to produce stimulated Raman spectra from the pump-induced gain in the probe spectrum. The high intensity of the Raman pump combined with the broad bandwidth of the probe produces high signal-to-noise vibrational spectra with very short data acquisition tim es. FSRS spectra of standard solutions and solvents such as aqueous Na 2 SO 4 , aqueous KNO 3 , methanol, isopropanol, and cyclohexane are collected in seconds. Furthermore, stim ulated Raman spectra can be obtained using just a single pump-probe pulse pair that illuminates the sample for only ;1 ps. Fluorescence rejection is demonstrated by collecting FSRS spectra of dyes (rhodamine 6G, chlorophyll a, and DTTCI) with varying degrees of uorescence background and reso nance enhancement. The high signal-to-noise, short data acquisition time, uorescence rejection, and high spectral and temporal resolution of femtosecond stimulated Raman spec-troscopy make it a valuable new vibrational spectro scopic technique .","author":[{"dropping-particle":"","family":"Kukura","given":"Philipp","non-dropping-particle":"","parse-names":false,"suffix":""},{"dropping-particle":"","family":"Mathies","given":"R.","non-dropping-particle":"","parse-names":false,"suffix":""},{"dropping-particle":"","family":"McCamant","given":"D. W.","non-dropping-particle":"","parse-names":false,"suffix":""}],"container-title":"Applied Spectroscopy","id":"ITEM-1","issue":"11","issued":{"date-parts":[["2003"]]},"page":"1317-1323","title":"Femtosecond Broadband Stimulated Raman: A New Approach for High-Performance Vibrational Spectroscopy","type":"article-journal","volume":"57"},"uris":["http://www.mendeley.com/documents/?uuid=118c77a3-64c7-39a3-b300-ccd1ed54be83"]},{"id":"ITEM-2","itemData":{"DOI":"10.1007/s00340-006-2386-8","ISSN":"09462171","abstract":"The design of a femtosecond stimulated Raman spectrograph (FSRS) optimized for measurements in the near UV is presented. It features a 387.5 nm Raman pump pulse causing a (pre-)resonance enhancement for molecular absorbing in the UV. As many photoreactive molecules absorb there, the set-up is particularly suited to study photochemical reactions. The 387.5 nm pulses are generated by frequency adding two femtosecond laser pulses with linear chirps, equal in magnitude but opposite in sign. This results in intense and spectrally narrow (</w:instrText>
      </w:r>
      <w:r w:rsidR="009B2BB3">
        <w:rPr>
          <w:rFonts w:ascii="Cambria Math" w:hAnsi="Cambria Math" w:cs="Cambria Math"/>
        </w:rPr>
        <w:instrText>∼</w:instrText>
      </w:r>
      <w:r w:rsidR="009B2BB3">
        <w:instrText xml:space="preserve">10 cm -1) Raman pump pulses which allow recording of Raman spectra with a good spectral resolution. The power of the spectrograph to trace ultrafast photoreactions is illustrated by measurements on the photochemistry of o-nitrobenzaldehyde. </w:instrText>
      </w:r>
      <w:r w:rsidR="009B2BB3">
        <w:rPr>
          <w:rFonts w:ascii="Calibri" w:hAnsi="Calibri" w:cs="Calibri"/>
        </w:rPr>
        <w:instrText>©</w:instrText>
      </w:r>
      <w:r w:rsidR="009B2BB3">
        <w:instrText xml:space="preserve"> Springer-Verlag 2006.","author":[{"dropping-particle":"","family":"Laimgruber","given":"S.","non-dropping-particle":"","parse-names":false,"suffix":""},{"dropping-particle":"","family":"Schachenmayr","given":"H.","non-dropping-particle":"","parse-names":false,"suffix":""},{"dropping-particle":"","family":"Schmidt","given":"B.","non-dropping-particle":"","parse-names":false,"suffix":""},{"dropping-particle":"","family":"Zinth","given":"W.","non-dropping-particle":"","parse-names":false,"suffix":""},{"dropping-particle":"","family":"Gilch","given":"P.","non-dropping-particle":"","parse-names":false,"suffix":""}],"container-title":"Applied Physics B: Lasers and Optics","id":"ITEM-2","issue":"4","issued":{"date-parts":[["2006","12"]]},"page":"557-564","title":"A femtosecond stimulated raman spectrograph for the near ultraviolet","type":"article-journal","volume":"85"},"uris":["http://www.mendeley.com/documents/?uuid=45a3ebd1-0666-35f0-8456-46cbe73aefd1"]}],"mendeley":{"formattedCitation":"&lt;sup&gt;1,2&lt;/sup&gt;","plainTextFormattedCitation":"1,2","previouslyFormattedCitation":"&lt;sup&gt;1,2&lt;/sup&gt;"},"properties":{"noteIndex":0},"schema":"https://github.com/citation-style-language/schema/raw/master/csl-citation.json"}</w:instrText>
      </w:r>
      <w:r w:rsidR="005307BC">
        <w:fldChar w:fldCharType="separate"/>
      </w:r>
      <w:r w:rsidR="005307BC" w:rsidRPr="005307BC">
        <w:rPr>
          <w:noProof/>
          <w:vertAlign w:val="superscript"/>
        </w:rPr>
        <w:t>1,2</w:t>
      </w:r>
      <w:r w:rsidR="005307BC">
        <w:fldChar w:fldCharType="end"/>
      </w:r>
      <w:r w:rsidRPr="002C51AD">
        <w:t>.</w:t>
      </w:r>
      <w:r w:rsidR="005307BC">
        <w:t xml:space="preserve"> </w:t>
      </w:r>
    </w:p>
    <w:p w14:paraId="372D496E" w14:textId="5277C5BF" w:rsidR="00133845" w:rsidRDefault="00133845" w:rsidP="0064448D">
      <w:pPr>
        <w:spacing w:line="360" w:lineRule="auto"/>
        <w:jc w:val="both"/>
      </w:pPr>
      <w:r w:rsidRPr="002C51AD">
        <w:t xml:space="preserve">In contrast, in FSRS experiments, this problem is </w:t>
      </w:r>
      <w:r w:rsidR="00DF5177">
        <w:t>more</w:t>
      </w:r>
      <w:r w:rsidR="00DF5177" w:rsidRPr="002C51AD">
        <w:t xml:space="preserve"> </w:t>
      </w:r>
      <w:r w:rsidRPr="002C51AD">
        <w:t xml:space="preserve">complicated. In broadband stimulated Raman experiments, where the probe is white light, signals from both the Stokes and anti-Stokes regions result from the difference frequency beating originating from the superposition of pump and probe fields. Both can, in principle, lead to either loss or gain, posing no fundamental restriction to whether vibrational excitation or de-excitation is probed. In equilibrated thermodynamic conditions, the lower </w:t>
      </w:r>
      <w:r w:rsidR="00DF5177">
        <w:t xml:space="preserve">frequency </w:t>
      </w:r>
      <w:r w:rsidRPr="002C51AD">
        <w:t>modes are always more occupied, so the Stokes region is dominated by Raman gain, and the anti-Stokes region is dominated by Raman loss—both effectively Stokes scattering in the conventional Raman sense. However, in dynamic situations, both regions can be and often are a superposition of both gain and loss processes.</w:t>
      </w:r>
    </w:p>
    <w:p w14:paraId="5F66C751" w14:textId="57EA16AA" w:rsidR="00133845" w:rsidRDefault="00133845" w:rsidP="0064448D">
      <w:pPr>
        <w:spacing w:line="360" w:lineRule="auto"/>
        <w:jc w:val="both"/>
      </w:pPr>
      <w:r w:rsidRPr="002C51AD">
        <w:t xml:space="preserve">To complicate matters further, when Stokes and anti-Stokes probe regions of the white light are present simultaneously, they can operate in synergy. These poorly understood processes are probably responsible for generally stronger anti-Stokes loss signals compared to Stokes gain signals and a </w:t>
      </w:r>
      <w:r w:rsidR="00DF5177">
        <w:t>non</w:t>
      </w:r>
      <w:r w:rsidRPr="002C51AD">
        <w:t>linear response to probe light intensity. The anti-Stokes region differs from the Stokes region in that the probe itself is effectively the Raman pump, while the Raman pump operates as the probe. This means that anti-Stokes effectively sweeps its resonance across the detection range. There is well-established experimental evidence that strong resonant conditions can lead to peak distortion, both in the Stokes and anti-Stokes regions. The limited scope of theoretical works</w:t>
      </w:r>
      <w:r w:rsidR="005307BC">
        <w:fldChar w:fldCharType="begin" w:fldLock="1"/>
      </w:r>
      <w:r w:rsidR="009B2BB3">
        <w:instrText xml:space="preserve">ADDIN CSL_CITATION {"citationItems":[{"id":"ITEM-1","itemData":{"DOI":"10.1063/5.0075116","ISSN":"0021-9606","abstract":"Resonance stimulated Raman signal and line shape are evaluated analytically under common electronic/vibrational dephasing and exponential Raman/probe pulse, exp(−|t|/τ). Generally, the signal from a particular state includes contributions from higher and lower electronic states. Thus, with S0 → S1 actinic excitation, the Raman signal consists of 15 Feynman diagrams entering with different signs. The negative sign indicates vibrational coherences in S1 or higher Sn, whereas the positive sign reveals coherences in S0 or Sn via S1 → Sn → Sm (n &lt; m) coupling. The signal complexity is in contrast to spontaneous Raman with its single diagram only. The results are applied to femtosecond stimulated Raman spectra of trans–trans, cis–trans (ct), and cis–cis (cc) 1,4-diphenyl-1,3-butadiene, the ct and cc being reported for the first time. Upon actinic excitation, the Stokes spectra show negative bands from S1 or Sn. When approaching higher resonances Sn → Sm, some Raman bands switch their sign from negative to positive, thus, indicating new coherences in Sn. The results are discussed, and the measured Raman spectra are compared to the computed quantum-chemical spectra.","author":[{"dropping-particle":"","family":"Dobryakov","given":"A. L.","non-dropping-particle":"","parse-names":false,"suffix":""},{"dropping-particle":"","family":"Krohn","given":"O. A.","non-dropping-particle":"","parse-names":false,"suffix":""},{"dropping-particle":"","family":"Quick","given":"M.","non-dropping-particle":"","parse-names":false,"suffix":""},{"dropping-particle":"","family":"Ioffe","given":"I. N.","non-dropping-particle":"","parse-names":false,"suffix":""},{"dropping-particle":"","family":"Kovalenko","given":"S. A.","non-dropping-particle":"","parse-names":false,"suffix":""}],"container-title":"The Journal of Chemical Physics","id":"ITEM-1","issue":"8","issued":{"date-parts":[["2022","2","28"]]},"page":"084304","title":"Positive and negative signal and line shape in stimulated Raman spectroscopy: Resonance femtosecond Raman spectra of diphenylbutadiene","type":"article-journal","volume":"156"},"uris":["http://www.mendeley.com/documents/?uuid=853d3cf0-e904-4c91-8ea2-ca006d89161c"]},{"id":"ITEM-2","itemData":{"DOI":"10.1021/acs.jpca.7b04404","ISSN":"15205215","PMID":"28678500","abstract":"Tracking molecular motions in real time remains a formidable challenge in science and engineering fields because the experimental methodology requires simultaneously high spatial and temporal resolutions. Building on early successes and future potential of femtosecond stimulated Raman spectroscopy (FSRS) as a structural dynamics technique, we present a comprehensive study of stimulated Raman line shapes of a photosensitive molecule in solution with tunable Raman pump and probe pulses. Following femtosecond 400 nm electronic excitation, the model photoacid pyranine exhibits dynamic and mode-dependent Raman line shapes when the Raman pump is tuned from the red side toward and across the excited-state absorption (ESA) band (e.g., from S1) with varying resonance conditions. On the anti-Stokes FSRS side, low-frequency modes below </w:instrText>
      </w:r>
      <w:r w:rsidR="009B2BB3">
        <w:rPr>
          <w:rFonts w:ascii="Cambria Math" w:hAnsi="Cambria Math" w:cs="Cambria Math"/>
        </w:rPr>
        <w:instrText>∼</w:instrText>
      </w:r>
      <w:r w:rsidR="009B2BB3">
        <w:instrText xml:space="preserve">1000 cm-1 exhibit a line shape change from gain to dispersive to loss, whereas the dispersive intermediate is much less notable for high-frequency modes. The characteristic mode frequency blue shift involving vibrationally hot states in S1 with time constants of </w:instrText>
      </w:r>
      <w:r w:rsidR="009B2BB3">
        <w:rPr>
          <w:rFonts w:ascii="Cambria Math" w:hAnsi="Cambria Math" w:cs="Cambria Math"/>
        </w:rPr>
        <w:instrText>∼</w:instrText>
      </w:r>
      <w:r w:rsidR="009B2BB3">
        <w:instrText>9.6 and 58.6 ps reveals the sensitivity of anti-Stokes FSRS to vibrational cooling and solvation. This work lays the foundation for expanding tunable FSRS technology on both the Stokes and anti-Stokes sides to investigate a variety of photoinduced processes in solution with sufficient resolution to expose functional motions and increased sensitivity to monitor vibrational cooling.","author":[{"dropping-particle":"","family":"Oscar","given":"Breland G.","non-dropping-particle":"","parse-names":false,"suffix":""},{"dropping-particle":"","family":"Chen","given":"Cheng","non-dropping-particle":"","parse-names":false,"suffix":""},{"dropping-particle":"","family":"Liu","given":"Weimin","non-dropping-particle":"","parse-names":false,"suffix":""},{"dropping-particle":"","family":"Zhu","given":"Liangdong","non-dropping-particle":"","parse-names":false,"suffix":""},{"dropping-particle":"","family":"Fang","given":"Chong","non-dropping-particle":"","parse-names":false,"suffix":""}],"container-title":"Journal of Physical Chemistry A","id":"ITEM-2","issue":"29","issued":{"date-parts":[["2017","7"]]},"page":"5428-5441","title":"Dynamic Raman Line Shapes on an Evolving Excited-State Landscape: Insights from Tunable Femtosecond Stimulated Raman Spectroscopy","type":"article-journal","volume":"121"},"uris":["http://www.mendeley.com/documents/?uuid=f69e9054-5094-4883-9372-fe2f35ee3b62"]}],"mendeley":{"formattedCitation":"&lt;sup&gt;3,4&lt;/sup&gt;","plainTextFormattedCitation":"3,4","previouslyFormattedCitation":"&lt;sup&gt;3,4&lt;/sup&gt;"},"properties":{"noteIndex":0},"schema":"https://github.com/citation-style-language/schema/raw/master/csl-citation.json"}</w:instrText>
      </w:r>
      <w:r w:rsidR="005307BC">
        <w:fldChar w:fldCharType="separate"/>
      </w:r>
      <w:r w:rsidR="005307BC" w:rsidRPr="005307BC">
        <w:rPr>
          <w:noProof/>
          <w:vertAlign w:val="superscript"/>
        </w:rPr>
        <w:t>3,4</w:t>
      </w:r>
      <w:r w:rsidR="005307BC">
        <w:fldChar w:fldCharType="end"/>
      </w:r>
      <w:r w:rsidRPr="002C51AD">
        <w:t xml:space="preserve"> is inclined to ascribe it to the generation of multiple vibrational coherences simultaneously.</w:t>
      </w:r>
    </w:p>
    <w:p w14:paraId="04F95DC6" w14:textId="2F06C065" w:rsidR="00133845" w:rsidRDefault="00133845" w:rsidP="0064448D">
      <w:pPr>
        <w:spacing w:line="360" w:lineRule="auto"/>
        <w:jc w:val="both"/>
      </w:pPr>
      <w:r w:rsidRPr="002C51AD">
        <w:t xml:space="preserve">In the case of FSRS </w:t>
      </w:r>
      <w:r w:rsidR="004A1A39">
        <w:t xml:space="preserve">applied to </w:t>
      </w:r>
      <w:r w:rsidRPr="002C51AD">
        <w:t xml:space="preserve">the excited state </w:t>
      </w:r>
      <w:r w:rsidR="004A1A39">
        <w:t xml:space="preserve">dynamics </w:t>
      </w:r>
      <w:r w:rsidRPr="002C51AD">
        <w:t>of carotenoid</w:t>
      </w:r>
      <w:r w:rsidR="004A1A39">
        <w:t>s</w:t>
      </w:r>
      <w:r w:rsidRPr="002C51AD">
        <w:t xml:space="preserve">, resonance with </w:t>
      </w:r>
      <w:r w:rsidR="004A1A39">
        <w:t xml:space="preserve">the </w:t>
      </w:r>
      <w:r>
        <w:t>S2</w:t>
      </w:r>
      <w:r w:rsidRPr="002C51AD">
        <w:t xml:space="preserve"> state absorption, for example, leads to the generation of vibrational coherence both at the S2</w:t>
      </w:r>
      <w:r>
        <w:t xml:space="preserve"> and </w:t>
      </w:r>
      <w:r w:rsidR="00993E2E">
        <w:t>higher excited</w:t>
      </w:r>
      <w:r>
        <w:t xml:space="preserve"> </w:t>
      </w:r>
      <w:r w:rsidRPr="002C51AD">
        <w:t>states</w:t>
      </w:r>
      <w:r>
        <w:t xml:space="preserve">, possible even S0 via resonance with </w:t>
      </w:r>
      <w:r w:rsidR="004A1A39">
        <w:t xml:space="preserve">a </w:t>
      </w:r>
      <w:r>
        <w:t>stimulated emission</w:t>
      </w:r>
      <w:r w:rsidR="001548A8">
        <w:t>, this is even more valid for the ICT state</w:t>
      </w:r>
      <w:r w:rsidRPr="002C51AD">
        <w:t xml:space="preserve">. These coherences might evolve differently and </w:t>
      </w:r>
      <w:r w:rsidR="00DF5177">
        <w:t xml:space="preserve">their </w:t>
      </w:r>
      <w:r>
        <w:t>interfere</w:t>
      </w:r>
      <w:r w:rsidR="00DF5177">
        <w:t>nce</w:t>
      </w:r>
      <w:r>
        <w:t xml:space="preserve"> </w:t>
      </w:r>
      <w:r w:rsidR="00DF5177" w:rsidRPr="002C51AD">
        <w:t>produc</w:t>
      </w:r>
      <w:r w:rsidR="00DF5177">
        <w:t>es</w:t>
      </w:r>
      <w:r w:rsidR="00DF5177" w:rsidRPr="002C51AD">
        <w:t xml:space="preserve"> </w:t>
      </w:r>
      <w:r w:rsidRPr="002C51AD">
        <w:t xml:space="preserve">distorted peak shapes. Another experimental observation </w:t>
      </w:r>
      <w:r w:rsidR="00807FA5">
        <w:t xml:space="preserve">we have made in our study </w:t>
      </w:r>
      <w:r w:rsidRPr="002C51AD">
        <w:t xml:space="preserve">is that peak distortion is significantly more pronounced in the case of anti-Stokes scattering, which is also more sensitive to </w:t>
      </w:r>
      <w:r w:rsidRPr="002C51AD">
        <w:lastRenderedPageBreak/>
        <w:t xml:space="preserve">vibrational cooling. Fortunately, none of these phenomena are related to the actual frequencies of the modes. </w:t>
      </w:r>
      <w:r w:rsidR="00807FA5" w:rsidRPr="002C51AD">
        <w:t>So,</w:t>
      </w:r>
      <w:r w:rsidRPr="002C51AD">
        <w:t xml:space="preserve"> while FSRS peaks, especially those in the anti-Stokes side of the </w:t>
      </w:r>
      <w:proofErr w:type="spellStart"/>
      <w:r w:rsidRPr="002C51AD">
        <w:t>Rp</w:t>
      </w:r>
      <w:proofErr w:type="spellEnd"/>
      <w:r w:rsidRPr="002C51AD">
        <w:t xml:space="preserve"> </w:t>
      </w:r>
      <w:proofErr w:type="gramStart"/>
      <w:r w:rsidRPr="002C51AD">
        <w:t>pulse,</w:t>
      </w:r>
      <w:proofErr w:type="gramEnd"/>
      <w:r w:rsidRPr="002C51AD">
        <w:t xml:space="preserve"> might appear </w:t>
      </w:r>
      <w:r w:rsidR="001548A8">
        <w:t xml:space="preserve">dispersive or </w:t>
      </w:r>
      <w:r w:rsidRPr="002C51AD">
        <w:t xml:space="preserve">negative, especially when probing a hot state or a state heavily in resonance, the location of the peaks is always informative about </w:t>
      </w:r>
      <w:r>
        <w:t>the mode</w:t>
      </w:r>
      <w:r w:rsidRPr="002C51AD">
        <w:t xml:space="preserve"> frequency.</w:t>
      </w:r>
    </w:p>
    <w:p w14:paraId="6D8F2542" w14:textId="3AF9AA31" w:rsidR="00133845" w:rsidRDefault="00133845" w:rsidP="0064448D">
      <w:pPr>
        <w:spacing w:line="360" w:lineRule="auto"/>
        <w:jc w:val="both"/>
      </w:pPr>
      <w:r w:rsidRPr="002C51AD">
        <w:t xml:space="preserve">In the particular case of the data presented in this work, we assume that especially the S2 state and ICT state are probed in the region where ESA and SE are superposed to various degrees and even evolve over time. This nature of probing two or more resonances simultaneously </w:t>
      </w:r>
      <w:r>
        <w:t xml:space="preserve">likely </w:t>
      </w:r>
      <w:r w:rsidRPr="002C51AD">
        <w:t>leads to peak shape distortion. This is much more pronounced for the S2 state</w:t>
      </w:r>
      <w:r w:rsidR="001548A8">
        <w:t xml:space="preserve"> and the ICT state</w:t>
      </w:r>
      <w:r w:rsidRPr="002C51AD">
        <w:t xml:space="preserve">, </w:t>
      </w:r>
      <w:r w:rsidR="00366F48">
        <w:t>which</w:t>
      </w:r>
      <w:r w:rsidR="00366F48" w:rsidRPr="002C51AD">
        <w:t xml:space="preserve"> </w:t>
      </w:r>
      <w:r w:rsidR="001548A8">
        <w:t>are</w:t>
      </w:r>
      <w:r w:rsidRPr="002C51AD">
        <w:t xml:space="preserve"> known to manifest stimulated emission </w:t>
      </w:r>
      <w:r w:rsidR="001548A8">
        <w:t>together with ESA</w:t>
      </w:r>
      <w:r w:rsidRPr="002C51AD">
        <w:t>. In contrast to that, the S1 state is probed in the region where it has only a very mild S1-Sn resonance, and practically only vibrational coherence at the S1 state is generated and probed, so it does not show much peak distortion. Consistent with the established experimentally documented trend, only anti-Stokes peaks are distorted to a larger extent</w:t>
      </w:r>
      <w:r w:rsidR="006578F8">
        <w:t xml:space="preserve"> </w:t>
      </w:r>
      <w:r w:rsidR="00807FA5">
        <w:fldChar w:fldCharType="begin" w:fldLock="1"/>
      </w:r>
      <w:r w:rsidR="009B2BB3">
        <w:instrText xml:space="preserve">ADDIN CSL_CITATION {"citationItems":[{"id":"ITEM-1","itemData":{"DOI":"10.1021/acs.jpca.7b04404","ISSN":"15205215","PMID":"28678500","abstract":"Tracking molecular motions in real time remains a formidable challenge in science and engineering fields because the experimental methodology requires simultaneously high spatial and temporal resolutions. Building on early successes and future potential of femtosecond stimulated Raman spectroscopy (FSRS) as a structural dynamics technique, we present a comprehensive study of stimulated Raman line shapes of a photosensitive molecule in solution with tunable Raman pump and probe pulses. Following femtosecond 400 nm electronic excitation, the model photoacid pyranine exhibits dynamic and mode-dependent Raman line shapes when the Raman pump is tuned from the red side toward and across the excited-state absorption (ESA) band (e.g., from S1) with varying resonance conditions. On the anti-Stokes FSRS side, low-frequency modes below </w:instrText>
      </w:r>
      <w:r w:rsidR="009B2BB3">
        <w:rPr>
          <w:rFonts w:ascii="Cambria Math" w:hAnsi="Cambria Math" w:cs="Cambria Math"/>
        </w:rPr>
        <w:instrText>∼</w:instrText>
      </w:r>
      <w:r w:rsidR="009B2BB3">
        <w:instrText xml:space="preserve">1000 cm-1 exhibit a line shape change from gain to dispersive to loss, whereas the dispersive intermediate is much less notable for high-frequency modes. The characteristic mode frequency blue shift involving vibrationally hot states in S1 with time constants of </w:instrText>
      </w:r>
      <w:r w:rsidR="009B2BB3">
        <w:rPr>
          <w:rFonts w:ascii="Cambria Math" w:hAnsi="Cambria Math" w:cs="Cambria Math"/>
        </w:rPr>
        <w:instrText>∼</w:instrText>
      </w:r>
      <w:r w:rsidR="009B2BB3">
        <w:instrText>9.6 and 58.6 ps reveals the sensitivity of anti-Stokes FSRS to vibrational cooling and solvation. This work lays the foundation for expanding tunable FSRS technology on both the Stokes and anti-Stokes sides to investigate a variety of photoinduced processes in solution with sufficient resolution to expose functional motions and increased sensitivity to monitor vibrational cooling.","author":[{"dropping-particle":"","family":"Oscar","given":"Breland G.","non-dropping-particle":"","parse-names":false,"suffix":""},{"dropping-particle":"","family":"Chen","given":"Cheng","non-dropping-particle":"","parse-names":false,"suffix":""},{"dropping-particle":"","family":"Liu","given":"Weimin","non-dropping-particle":"","parse-names":false,"suffix":""},{"dropping-particle":"","family":"Zhu","given":"Liangdong","non-dropping-particle":"","parse-names":false,"suffix":""},{"dropping-particle":"","family":"Fang","given":"Chong","non-dropping-particle":"","parse-names":false,"suffix":""}],"container-title":"Journal of Physical Chemistry A","id":"ITEM-1","issue":"29","issued":{"date-parts":[["2017","7"]]},"page":"5428-5441","title":"Dynamic Raman Line Shapes on an Evolving Excited-State Landscape: Insights from Tunable Femtosecond Stimulated Raman Spectroscopy","type":"article-journal","volume":"121"},"uris":["http://www.mendeley.com/documents/?uuid=f69e9054-5094-4883-9372-fe2f35ee3b62"]},{"id":"ITEM-2","itemData":{"DOI":"10.1063/5.0075116","ISSN":"0021-9606","abstract":"Resonance stimulated Raman signal and line shape are evaluated analytically under common electronic/vibrational dephasing and exponential Raman/probe pulse, exp(−|t|/τ). Generally, the signal from a particular state includes contributions from higher and lower electronic states. Thus, with S0 → S1 actinic excitation, the Raman signal consists of 15 Feynman diagrams entering with different signs. The negative sign indicates vibrational coherences in S1 or higher Sn, whereas the positive sign reveals coherences in S0 or Sn via S1 → Sn → Sm (n &lt; m) coupling. The signal complexity is in contrast to spontaneous Raman with its single diagram only. The results are applied to femtosecond stimulated Raman spectra of trans–trans, cis–trans (ct), and cis–cis (cc) 1,4-diphenyl-1,3-butadiene, the ct and cc being reported for the first time. Upon actinic excitation, the Stokes spectra show negative bands from S1 or Sn. When approaching higher resonances Sn → Sm, some Raman bands switch their sign from negative to positive, thus, indicating new coherences in Sn. The results are discussed, and the measured Raman spectra are compared to the computed quantum-chemical spectra.","author":[{"dropping-particle":"","family":"Dobryakov","given":"A. L.","non-dropping-particle":"","parse-names":false,"suffix":""},{"dropping-particle":"","family":"Krohn","given":"O. A.","non-dropping-particle":"","parse-names":false,"suffix":""},{"dropping-particle":"","family":"Quick","given":"M.","non-dropping-particle":"","parse-names":false,"suffix":""},{"dropping-particle":"","family":"Ioffe","given":"I. N.","non-dropping-particle":"","parse-names":false,"suffix":""},{"dropping-particle":"","family":"Kovalenko","given":"S. A.","non-dropping-particle":"","parse-names":false,"suffix":""}],"container-title":"The Journal of Chemical Physics","id":"ITEM-2","issue":"8","issued":{"date-parts":[["2022","2","28"]]},"page":"084304","title":"Positive and negative signal and line shape in stimulated Raman spectroscopy: Resonance femtosecond Raman spectra of diphenylbutadiene","type":"article-journal","volume":"156"},"uris":["http://www.mendeley.com/documents/?uuid=853d3cf0-e904-4c91-8ea2-ca006d89161c"]}],"mendeley":{"formattedCitation":"&lt;sup&gt;3,4&lt;/sup&gt;","plainTextFormattedCitation":"3,4","previouslyFormattedCitation":"&lt;sup&gt;3,4&lt;/sup&gt;"},"properties":{"noteIndex":0},"schema":"https://github.com/citation-style-language/schema/raw/master/csl-citation.json"}</w:instrText>
      </w:r>
      <w:r w:rsidR="00807FA5">
        <w:fldChar w:fldCharType="separate"/>
      </w:r>
      <w:r w:rsidR="00807FA5" w:rsidRPr="00807FA5">
        <w:rPr>
          <w:noProof/>
          <w:vertAlign w:val="superscript"/>
        </w:rPr>
        <w:t>3,4</w:t>
      </w:r>
      <w:r w:rsidR="00807FA5">
        <w:fldChar w:fldCharType="end"/>
      </w:r>
      <w:r w:rsidRPr="002C51AD">
        <w:t>.</w:t>
      </w:r>
    </w:p>
    <w:p w14:paraId="359F255B" w14:textId="35FD3FFC" w:rsidR="008E2F3C" w:rsidRDefault="004C6B34" w:rsidP="0064448D">
      <w:pPr>
        <w:spacing w:line="360" w:lineRule="auto"/>
        <w:jc w:val="both"/>
      </w:pPr>
      <w:r w:rsidRPr="004C6B34">
        <w:t xml:space="preserve">An additional effect evident in the presented data is referred to as "S2 state re-pumping." When the </w:t>
      </w:r>
      <w:proofErr w:type="spellStart"/>
      <w:r w:rsidRPr="004C6B34">
        <w:t>Rp</w:t>
      </w:r>
      <w:proofErr w:type="spellEnd"/>
      <w:r w:rsidRPr="004C6B34">
        <w:t xml:space="preserve"> pulse resonates with the excited state, </w:t>
      </w:r>
      <w:r w:rsidR="00BF2885">
        <w:t>there is a possibility</w:t>
      </w:r>
      <w:r w:rsidRPr="004C6B34">
        <w:t>, instead of forming vibration</w:t>
      </w:r>
      <w:r w:rsidR="00366F48">
        <w:t>al</w:t>
      </w:r>
      <w:r w:rsidRPr="004C6B34">
        <w:t xml:space="preserve"> coherence through co-interaction with </w:t>
      </w:r>
      <w:proofErr w:type="spellStart"/>
      <w:r w:rsidRPr="004C6B34">
        <w:t>Pr</w:t>
      </w:r>
      <w:proofErr w:type="spellEnd"/>
      <w:r w:rsidRPr="004C6B34">
        <w:t xml:space="preserve"> at the excited state, to establish a population at a higher excited state. This process effectively functions as a "</w:t>
      </w:r>
      <w:r w:rsidR="00BF2885">
        <w:t>re-pump</w:t>
      </w:r>
      <w:r w:rsidRPr="004C6B34">
        <w:t>" pulse, employing the terminology of "pump-dump-probe" spectroscopy</w:t>
      </w:r>
      <w:r w:rsidR="006578F8">
        <w:t xml:space="preserve"> </w:t>
      </w:r>
      <w:r w:rsidR="00D6291B">
        <w:fldChar w:fldCharType="begin" w:fldLock="1"/>
      </w:r>
      <w:r w:rsidR="00F93D31">
        <w:instrText>ADDIN CSL_CITATION {"citationItems":[{"id":"ITEM-1","itemData":{"DOI":"10.1021/acs.jpcb.3c05450","ISSN":"1520-6106","author":[{"dropping-particle":"","family":"Guo","given":"Yuanyuan","non-dropping-particle":"","parse-names":false,"suffix":""},{"dropping-particle":"","family":"Feng","given":"Minjun","non-dropping-particle":"","parse-names":false,"suffix":""},{"dropping-particle":"","family":"Kuang","given":"Zhuoran","non-dropping-particle":"","parse-names":false,"suffix":""},{"dropping-particle":"","family":"Abeywickrama","given":"Chathura S.","non-dropping-particle":"","parse-names":false,"suffix":""},{"dropping-particle":"","family":"Pang","given":"Yi","non-dropping-particle":"","parse-names":false,"suffix":""},{"dropping-particle":"","family":"Xia","given":"Andong","non-dropping-particle":"","parse-names":false,"suffix":""}],"container-title":"The Journal of Physical Chemistry B","id":"ITEM-1","issue":"36","issued":{"date-parts":[["2023","9","14"]]},"page":"7764-7771","title":"Unveiling Solvation Dynamics of Excited and Ground States via Ultrafast Pump–Dump–Probe Spectroscopy","type":"article-journal","volume":"127"},"uris":["http://www.mendeley.com/documents/?uuid=fd4f6784-12b0-4ce8-93f0-5d4f5f26d160"]}],"mendeley":{"formattedCitation":"&lt;sup&gt;5&lt;/sup&gt;","plainTextFormattedCitation":"5","previouslyFormattedCitation":"&lt;sup&gt;5&lt;/sup&gt;"},"properties":{"noteIndex":0},"schema":"https://github.com/citation-style-language/schema/raw/master/csl-citation.json"}</w:instrText>
      </w:r>
      <w:r w:rsidR="00D6291B">
        <w:fldChar w:fldCharType="separate"/>
      </w:r>
      <w:r w:rsidR="00D6291B" w:rsidRPr="00D6291B">
        <w:rPr>
          <w:noProof/>
          <w:vertAlign w:val="superscript"/>
        </w:rPr>
        <w:t>5</w:t>
      </w:r>
      <w:r w:rsidR="00D6291B">
        <w:fldChar w:fldCharType="end"/>
      </w:r>
      <w:r w:rsidRPr="004C6B34">
        <w:t>. The re-excitation of the S1 and ICT states of the carotenoid to an even higher excited state most likely results in the formation of the S2 state or higher states, subsequently relaxing through the S2 state</w:t>
      </w:r>
      <w:r w:rsidR="006578F8">
        <w:t xml:space="preserve"> </w:t>
      </w:r>
      <w:r w:rsidR="00D6291B">
        <w:fldChar w:fldCharType="begin" w:fldLock="1"/>
      </w:r>
      <w:r w:rsidR="00F93D31">
        <w:instrText>ADDIN CSL_CITATION {"citationItems":[{"id":"ITEM-1","itemData":{"DOI":"10.1039/D3CP02485G","ISSN":"1463-9076","abstract":"Here we address the relation between the upper excited states of carotenoids: the UV absorbing state S UV and the final state of S 1 –S n transition.","author":[{"dropping-particle":"","family":"Kuznetsova","given":"Valentyna","non-dropping-particle":"","parse-names":false,"suffix":""},{"dropping-particle":"","family":"Fuciman","given":"Marcel","non-dropping-particle":"","parse-names":false,"suffix":""},{"dropping-particle":"","family":"Polívka","given":"Tomáš","non-dropping-particle":"","parse-names":false,"suffix":""}],"container-title":"Physical Chemistry Chemical Physics","id":"ITEM-1","issue":"33","issued":{"date-parts":[["2023"]]},"page":"22336-22344","title":"Relaxation dynamics of high-energy excited states of carotenoids studied by UV excitation and pump–repump–probe transient absorption spectroscopy","type":"article-journal","volume":"25"},"uris":["http://www.mendeley.com/documents/?uuid=fa892ca6-992e-4bcc-82aa-7f4d5b777351"]}],"mendeley":{"formattedCitation":"&lt;sup&gt;6&lt;/sup&gt;","plainTextFormattedCitation":"6","previouslyFormattedCitation":"&lt;sup&gt;6&lt;/sup&gt;"},"properties":{"noteIndex":0},"schema":"https://github.com/citation-style-language/schema/raw/master/csl-citation.json"}</w:instrText>
      </w:r>
      <w:r w:rsidR="00D6291B">
        <w:fldChar w:fldCharType="separate"/>
      </w:r>
      <w:r w:rsidR="00D6291B" w:rsidRPr="00D6291B">
        <w:rPr>
          <w:noProof/>
          <w:vertAlign w:val="superscript"/>
        </w:rPr>
        <w:t>6</w:t>
      </w:r>
      <w:r w:rsidR="00D6291B">
        <w:fldChar w:fldCharType="end"/>
      </w:r>
      <w:r w:rsidRPr="004C6B34">
        <w:t xml:space="preserve">. The signature of this state then becomes apparent alongside the signature of the original state in resonance. Although the effect is relatively small, the resonance of S2 with the 790 Raman pump surpasses that of any other state, thereby even a minor quantity </w:t>
      </w:r>
      <w:r w:rsidR="006578F8" w:rsidRPr="004C6B34">
        <w:t xml:space="preserve">causing </w:t>
      </w:r>
      <w:r w:rsidRPr="004C6B34">
        <w:t>to induce noticeable features associated with the S2 state.</w:t>
      </w:r>
    </w:p>
    <w:p w14:paraId="279534E3" w14:textId="77777777" w:rsidR="00133845" w:rsidRDefault="00133845" w:rsidP="0064448D">
      <w:pPr>
        <w:spacing w:line="360" w:lineRule="auto"/>
        <w:jc w:val="both"/>
        <w:rPr>
          <w:noProof/>
        </w:rPr>
      </w:pPr>
      <w:r>
        <w:rPr>
          <w:noProof/>
        </w:rPr>
        <w:br w:type="page"/>
      </w:r>
    </w:p>
    <w:p w14:paraId="221AAF20" w14:textId="77777777" w:rsidR="00133845" w:rsidRPr="00C875F1" w:rsidRDefault="00133845" w:rsidP="0008356A">
      <w:pPr>
        <w:spacing w:line="360" w:lineRule="auto"/>
        <w:jc w:val="both"/>
        <w:rPr>
          <w:b/>
          <w:bCs/>
        </w:rPr>
      </w:pPr>
      <w:r w:rsidRPr="00C875F1">
        <w:rPr>
          <w:b/>
          <w:bCs/>
        </w:rPr>
        <w:lastRenderedPageBreak/>
        <w:t>Detailed methods</w:t>
      </w:r>
      <w:r>
        <w:rPr>
          <w:b/>
          <w:bCs/>
        </w:rPr>
        <w:t xml:space="preserve"> – FSRS experiment</w:t>
      </w:r>
    </w:p>
    <w:p w14:paraId="74BD1D1D" w14:textId="7EB0E8F0" w:rsidR="00133845" w:rsidRDefault="00133845" w:rsidP="0008356A">
      <w:pPr>
        <w:spacing w:line="360" w:lineRule="auto"/>
        <w:ind w:firstLine="720"/>
        <w:jc w:val="both"/>
        <w:rPr>
          <w:rFonts w:cs="Times New Roman"/>
          <w:szCs w:val="24"/>
        </w:rPr>
      </w:pPr>
      <w:r>
        <w:rPr>
          <w:rFonts w:cs="Times New Roman"/>
          <w:szCs w:val="24"/>
        </w:rPr>
        <w:t xml:space="preserve">All experiments were conducted on a homebuilt set-up constructed around femtosecond Titanium Sapphire amplifier </w:t>
      </w:r>
      <w:proofErr w:type="spellStart"/>
      <w:r>
        <w:rPr>
          <w:rFonts w:cs="Times New Roman"/>
          <w:szCs w:val="24"/>
        </w:rPr>
        <w:t>Femtopower</w:t>
      </w:r>
      <w:proofErr w:type="spellEnd"/>
      <w:r>
        <w:rPr>
          <w:rFonts w:cs="Times New Roman"/>
          <w:szCs w:val="24"/>
        </w:rPr>
        <w:t xml:space="preserve"> (Spectra Physics), generating 4.2 </w:t>
      </w:r>
      <w:proofErr w:type="spellStart"/>
      <w:r>
        <w:rPr>
          <w:rFonts w:cs="Times New Roman"/>
          <w:szCs w:val="24"/>
        </w:rPr>
        <w:t>mJ</w:t>
      </w:r>
      <w:proofErr w:type="spellEnd"/>
      <w:r>
        <w:rPr>
          <w:rFonts w:cs="Times New Roman"/>
          <w:szCs w:val="24"/>
        </w:rPr>
        <w:t xml:space="preserve"> pulses of ~20 fs duration at a repetition rate of 1 kHz and Solstice amplifier (Spectra Physics) </w:t>
      </w:r>
      <w:r w:rsidR="00D6291B">
        <w:rPr>
          <w:rFonts w:cs="Times New Roman"/>
          <w:szCs w:val="24"/>
        </w:rPr>
        <w:t xml:space="preserve">both </w:t>
      </w:r>
      <w:r>
        <w:rPr>
          <w:rFonts w:cs="Times New Roman"/>
          <w:szCs w:val="24"/>
        </w:rPr>
        <w:t>sharing the fs oscillator. Amplifiers were synchronized bot</w:t>
      </w:r>
      <w:r w:rsidR="00E5069E">
        <w:rPr>
          <w:rFonts w:cs="Times New Roman"/>
          <w:szCs w:val="24"/>
        </w:rPr>
        <w:t>h</w:t>
      </w:r>
      <w:r>
        <w:rPr>
          <w:rFonts w:cs="Times New Roman"/>
          <w:szCs w:val="24"/>
        </w:rPr>
        <w:t xml:space="preserve"> by means of electronic triggering and optical delay of the seed prior amplification. FSRS and TA experiment were integrated in one set-up as described below. The experiment is based on a controlled time overlap of three pulses in the sample, denoted as Probe (</w:t>
      </w:r>
      <w:proofErr w:type="spellStart"/>
      <w:r w:rsidR="00942FA5">
        <w:rPr>
          <w:rFonts w:cs="Times New Roman"/>
          <w:szCs w:val="24"/>
        </w:rPr>
        <w:t>Pr</w:t>
      </w:r>
      <w:proofErr w:type="spellEnd"/>
      <w:r w:rsidR="00942FA5">
        <w:rPr>
          <w:rFonts w:cs="Times New Roman"/>
          <w:szCs w:val="24"/>
        </w:rPr>
        <w:t xml:space="preserve"> -</w:t>
      </w:r>
      <w:r>
        <w:rPr>
          <w:rFonts w:cs="Times New Roman"/>
          <w:szCs w:val="24"/>
        </w:rPr>
        <w:t>probing transient absorption and Raman transition), Raman pump (</w:t>
      </w:r>
      <w:proofErr w:type="spellStart"/>
      <w:r w:rsidR="00942FA5">
        <w:rPr>
          <w:rFonts w:cs="Times New Roman"/>
          <w:szCs w:val="24"/>
        </w:rPr>
        <w:t>Rp</w:t>
      </w:r>
      <w:proofErr w:type="spellEnd"/>
      <w:r w:rsidR="00942FA5">
        <w:rPr>
          <w:rFonts w:cs="Times New Roman"/>
          <w:szCs w:val="24"/>
        </w:rPr>
        <w:t xml:space="preserve"> -</w:t>
      </w:r>
      <w:r>
        <w:rPr>
          <w:rFonts w:cs="Times New Roman"/>
          <w:szCs w:val="24"/>
        </w:rPr>
        <w:t>driving sample into vibration coherence with the Probe), and Actinic pump (</w:t>
      </w:r>
      <w:proofErr w:type="spellStart"/>
      <w:proofErr w:type="gramStart"/>
      <w:r w:rsidR="00942FA5">
        <w:rPr>
          <w:rFonts w:cs="Times New Roman"/>
          <w:szCs w:val="24"/>
        </w:rPr>
        <w:t>Ap</w:t>
      </w:r>
      <w:proofErr w:type="spellEnd"/>
      <w:proofErr w:type="gramEnd"/>
      <w:r w:rsidR="00942FA5">
        <w:rPr>
          <w:rFonts w:cs="Times New Roman"/>
          <w:szCs w:val="24"/>
        </w:rPr>
        <w:t xml:space="preserve"> - </w:t>
      </w:r>
      <w:r>
        <w:rPr>
          <w:rFonts w:cs="Times New Roman"/>
          <w:szCs w:val="24"/>
        </w:rPr>
        <w:t xml:space="preserve">triggering the desired photoreaction). </w:t>
      </w:r>
    </w:p>
    <w:p w14:paraId="1612CE1C" w14:textId="77777777" w:rsidR="00133845" w:rsidRDefault="00133845" w:rsidP="0008356A">
      <w:pPr>
        <w:spacing w:line="360" w:lineRule="auto"/>
        <w:ind w:firstLine="720"/>
        <w:jc w:val="both"/>
        <w:rPr>
          <w:rFonts w:cs="Times New Roman"/>
          <w:szCs w:val="24"/>
        </w:rPr>
      </w:pPr>
      <w:r>
        <w:rPr>
          <w:rFonts w:cs="Times New Roman"/>
          <w:szCs w:val="24"/>
        </w:rPr>
        <w:t xml:space="preserve">To generate the probe pulses, ~0.4 </w:t>
      </w:r>
      <w:proofErr w:type="spellStart"/>
      <w:r>
        <w:rPr>
          <w:rFonts w:cs="Times New Roman"/>
          <w:szCs w:val="24"/>
        </w:rPr>
        <w:t>mJ</w:t>
      </w:r>
      <w:proofErr w:type="spellEnd"/>
      <w:r>
        <w:rPr>
          <w:rFonts w:cs="Times New Roman"/>
          <w:szCs w:val="24"/>
        </w:rPr>
        <w:t xml:space="preserve"> of the laser output was split and used to pump a two-stage optical parametric amplifier to generate 1450 nm pulses of ~40 fs in duration. This output was used as a pump for a single filament supercontinuum generated in a 2-mm CaF</w:t>
      </w:r>
      <w:r>
        <w:rPr>
          <w:rFonts w:cs="Times New Roman"/>
          <w:szCs w:val="24"/>
          <w:vertAlign w:val="subscript"/>
        </w:rPr>
        <w:t>2</w:t>
      </w:r>
      <w:r>
        <w:rPr>
          <w:rFonts w:cs="Times New Roman"/>
          <w:szCs w:val="24"/>
        </w:rPr>
        <w:t xml:space="preserve"> plate, resulting in a white light with a spectrum covering the spectral region from 370 nm to the near infrared up to 1700 nm. The driving wavelength of 1450 nm was chosen to have the undesired spike in the probe intensity from the white light driving pump matching the first peak of water infrared absorption. A 1 cm cuvette with water was then used as a very efficient notch filter removing the 1450 nm spike resulting in a flat white light covering nearly the whole sensitivity range of the CCD detector. The probe was imaged onto the sample by a spherical mirror to a 50 µm diameter spot, and from the sample into the detection apparatus.</w:t>
      </w:r>
    </w:p>
    <w:p w14:paraId="6A79C34A" w14:textId="777B0137" w:rsidR="00133845" w:rsidRDefault="00133845" w:rsidP="0008356A">
      <w:pPr>
        <w:spacing w:line="360" w:lineRule="auto"/>
        <w:ind w:firstLine="720"/>
        <w:jc w:val="both"/>
        <w:rPr>
          <w:rFonts w:cs="Times New Roman"/>
          <w:szCs w:val="24"/>
        </w:rPr>
      </w:pPr>
      <w:r>
        <w:rPr>
          <w:rFonts w:cs="Times New Roman"/>
          <w:szCs w:val="24"/>
        </w:rPr>
        <w:t xml:space="preserve">In the detection apparatus, the probe was split in two beams. One part was sent to </w:t>
      </w:r>
      <w:r w:rsidR="00942FA5">
        <w:rPr>
          <w:rFonts w:cs="Times New Roman"/>
          <w:szCs w:val="24"/>
        </w:rPr>
        <w:t xml:space="preserve">a pair of </w:t>
      </w:r>
      <w:r>
        <w:rPr>
          <w:rFonts w:cs="Times New Roman"/>
          <w:szCs w:val="24"/>
        </w:rPr>
        <w:t xml:space="preserve">a </w:t>
      </w:r>
      <w:r w:rsidR="00942FA5">
        <w:rPr>
          <w:rFonts w:cs="Times New Roman"/>
          <w:szCs w:val="24"/>
        </w:rPr>
        <w:t xml:space="preserve">homebuilt </w:t>
      </w:r>
      <w:r>
        <w:rPr>
          <w:rFonts w:cs="Times New Roman"/>
          <w:szCs w:val="24"/>
        </w:rPr>
        <w:t xml:space="preserve">grating based high resolution imaging spectrograph for Raman analysis in </w:t>
      </w:r>
      <w:r w:rsidR="00942FA5">
        <w:rPr>
          <w:rFonts w:cs="Times New Roman"/>
          <w:szCs w:val="24"/>
        </w:rPr>
        <w:t xml:space="preserve">the Stokes region </w:t>
      </w:r>
      <w:r>
        <w:rPr>
          <w:rFonts w:cs="Times New Roman"/>
          <w:szCs w:val="24"/>
        </w:rPr>
        <w:t xml:space="preserve">750 nm to 950 nm </w:t>
      </w:r>
      <w:r w:rsidR="00942FA5">
        <w:rPr>
          <w:rFonts w:cs="Times New Roman"/>
          <w:szCs w:val="24"/>
        </w:rPr>
        <w:t>and anti-Stokes region 650 nm to 850 nm</w:t>
      </w:r>
      <w:r>
        <w:rPr>
          <w:rFonts w:cs="Times New Roman"/>
          <w:szCs w:val="24"/>
        </w:rPr>
        <w:t xml:space="preserve">. The other part was directed to a prism spectrograph to obtain transient absorption spectra in 370 nm to 1200 nm range. In </w:t>
      </w:r>
      <w:r w:rsidR="00942FA5">
        <w:rPr>
          <w:rFonts w:cs="Times New Roman"/>
          <w:szCs w:val="24"/>
        </w:rPr>
        <w:t>all three</w:t>
      </w:r>
      <w:r>
        <w:rPr>
          <w:rFonts w:cs="Times New Roman"/>
          <w:szCs w:val="24"/>
        </w:rPr>
        <w:t xml:space="preserve"> spectrographs, a </w:t>
      </w:r>
      <w:r w:rsidRPr="0057629E">
        <w:rPr>
          <w:rFonts w:cs="Times New Roman"/>
          <w:szCs w:val="24"/>
        </w:rPr>
        <w:t xml:space="preserve">58x1024 pixels </w:t>
      </w:r>
      <w:r>
        <w:rPr>
          <w:rFonts w:cs="Times New Roman"/>
          <w:szCs w:val="24"/>
        </w:rPr>
        <w:t>CCD camera (</w:t>
      </w:r>
      <w:r w:rsidRPr="009B0151">
        <w:rPr>
          <w:rFonts w:cs="Times New Roman"/>
          <w:szCs w:val="24"/>
        </w:rPr>
        <w:t>Entwicklungsbuero Stresing</w:t>
      </w:r>
      <w:r>
        <w:rPr>
          <w:rFonts w:cs="Times New Roman"/>
          <w:szCs w:val="24"/>
        </w:rPr>
        <w:t>) was used as a linear image sensor via operation in a full vertical binning mode. Cameras were triggered from the lasers at 1 kHz and provided full shot to shot detection with a dynamic range exceeding 30 000:1. Despite the low intensity of the single filament supercontinuum (~</w:t>
      </w:r>
      <w:proofErr w:type="spellStart"/>
      <w:r>
        <w:rPr>
          <w:rFonts w:cs="Times New Roman"/>
          <w:szCs w:val="24"/>
        </w:rPr>
        <w:t>pJ</w:t>
      </w:r>
      <w:proofErr w:type="spellEnd"/>
      <w:r>
        <w:rPr>
          <w:rFonts w:cs="Times New Roman"/>
          <w:szCs w:val="24"/>
        </w:rPr>
        <w:t xml:space="preserve">/nm), it was possible to fully saturate the dynamic range of the sensors. At saturation level the readout noise of this detector is two orders of magnitude lower then optical shot noise at given intensity so all presented measurements can be considered only optical shot-noise limited. </w:t>
      </w:r>
    </w:p>
    <w:p w14:paraId="5C45D3C9" w14:textId="4E59056A" w:rsidR="00133845" w:rsidRDefault="00133845" w:rsidP="0008356A">
      <w:pPr>
        <w:spacing w:line="360" w:lineRule="auto"/>
        <w:ind w:firstLine="720"/>
        <w:jc w:val="both"/>
        <w:rPr>
          <w:rFonts w:cs="Times New Roman"/>
          <w:szCs w:val="24"/>
        </w:rPr>
      </w:pPr>
      <w:r>
        <w:rPr>
          <w:rFonts w:cs="Times New Roman"/>
          <w:szCs w:val="24"/>
        </w:rPr>
        <w:lastRenderedPageBreak/>
        <w:t xml:space="preserve">The Raman pump was generated from ~1.5 </w:t>
      </w:r>
      <w:proofErr w:type="spellStart"/>
      <w:r>
        <w:rPr>
          <w:rFonts w:cs="Times New Roman"/>
          <w:szCs w:val="24"/>
        </w:rPr>
        <w:t>mJ</w:t>
      </w:r>
      <w:proofErr w:type="spellEnd"/>
      <w:r>
        <w:rPr>
          <w:rFonts w:cs="Times New Roman"/>
          <w:szCs w:val="24"/>
        </w:rPr>
        <w:t xml:space="preserve"> of the laser output transmitted via a 4f pulse shaper where a special disc with 96 shifted apertures was spinning at 10 Hz synchronized with the laser.  Each aperture transmitted only one ~15 cm</w:t>
      </w:r>
      <w:r w:rsidRPr="00AF4F0C">
        <w:rPr>
          <w:rFonts w:cs="Times New Roman"/>
          <w:szCs w:val="24"/>
          <w:vertAlign w:val="superscript"/>
        </w:rPr>
        <w:t>-1</w:t>
      </w:r>
      <w:r>
        <w:rPr>
          <w:rFonts w:cs="Times New Roman"/>
          <w:szCs w:val="24"/>
        </w:rPr>
        <w:t xml:space="preserve"> interval of wavelengths at the time. This arrangement allowed </w:t>
      </w:r>
      <w:proofErr w:type="gramStart"/>
      <w:r>
        <w:rPr>
          <w:rFonts w:cs="Times New Roman"/>
          <w:szCs w:val="24"/>
        </w:rPr>
        <w:t>to produce</w:t>
      </w:r>
      <w:proofErr w:type="gramEnd"/>
      <w:r>
        <w:rPr>
          <w:rFonts w:cs="Times New Roman"/>
          <w:szCs w:val="24"/>
        </w:rPr>
        <w:t xml:space="preserve"> 96 Raman pulses for each 100 incoming pulses, where each was ~5 cm</w:t>
      </w:r>
      <w:r>
        <w:rPr>
          <w:rFonts w:cs="Times New Roman"/>
          <w:szCs w:val="24"/>
          <w:vertAlign w:val="superscript"/>
        </w:rPr>
        <w:t>-1</w:t>
      </w:r>
      <w:r>
        <w:rPr>
          <w:rFonts w:cs="Times New Roman"/>
          <w:szCs w:val="24"/>
        </w:rPr>
        <w:t xml:space="preserve"> shifted from each other. </w:t>
      </w:r>
      <w:r w:rsidR="00942FA5">
        <w:rPr>
          <w:rFonts w:cs="Times New Roman"/>
          <w:szCs w:val="24"/>
        </w:rPr>
        <w:t xml:space="preserve">Shifted signals are then numerically recombined. </w:t>
      </w:r>
      <w:r>
        <w:rPr>
          <w:rFonts w:cs="Times New Roman"/>
          <w:szCs w:val="24"/>
        </w:rPr>
        <w:t xml:space="preserve">Such approach helps to reduce fix-pattern noise and facilitate baseline correction. The Raman pulses were generated in the interval from 770 to 795 nm and resulting Raman spectra represents an average of signal from all Raman experiments conducted over this interval. </w:t>
      </w:r>
      <w:r w:rsidR="00942FA5">
        <w:rPr>
          <w:rFonts w:cs="Times New Roman"/>
          <w:szCs w:val="24"/>
        </w:rPr>
        <w:t xml:space="preserve">Four pulses out of 100 were fully blocked to produce a pure transient absorption sequence along with the Raman experiment leading to the cyclic scheme where 96% of time the FSRS signal is measured and 4% of time pure TA signal is measured. </w:t>
      </w:r>
      <w:r>
        <w:rPr>
          <w:rFonts w:cs="Times New Roman"/>
          <w:szCs w:val="24"/>
        </w:rPr>
        <w:t>The Raman pulses were guided via an optical delay line and then focused by a lens to ~100 µm diameter spot overlapped with the probe. Temporal overlap between Raman pump and Probe was adjusted to achieve maximal stimulated Raman gain while maintaining good spectral resolution. Average Raman pulse energy at the sample was ~3 µJ.</w:t>
      </w:r>
    </w:p>
    <w:p w14:paraId="03B810E2" w14:textId="4BDDB355" w:rsidR="009D50D4" w:rsidRDefault="00133845" w:rsidP="009D50D4">
      <w:pPr>
        <w:spacing w:line="360" w:lineRule="auto"/>
        <w:ind w:firstLine="720"/>
        <w:jc w:val="both"/>
        <w:rPr>
          <w:rFonts w:cs="Times New Roman"/>
          <w:szCs w:val="24"/>
        </w:rPr>
      </w:pPr>
      <w:r>
        <w:rPr>
          <w:rFonts w:cs="Times New Roman"/>
          <w:szCs w:val="24"/>
        </w:rPr>
        <w:t xml:space="preserve">The actinic pulse was generated from 1.5 </w:t>
      </w:r>
      <w:proofErr w:type="spellStart"/>
      <w:r>
        <w:rPr>
          <w:rFonts w:cs="Times New Roman"/>
          <w:szCs w:val="24"/>
        </w:rPr>
        <w:t>mJ</w:t>
      </w:r>
      <w:proofErr w:type="spellEnd"/>
      <w:r>
        <w:rPr>
          <w:rFonts w:cs="Times New Roman"/>
          <w:szCs w:val="24"/>
        </w:rPr>
        <w:t xml:space="preserve"> of the laser output pumping two </w:t>
      </w:r>
      <w:proofErr w:type="gramStart"/>
      <w:r>
        <w:rPr>
          <w:rFonts w:cs="Times New Roman"/>
          <w:szCs w:val="24"/>
        </w:rPr>
        <w:t>stage</w:t>
      </w:r>
      <w:proofErr w:type="gramEnd"/>
      <w:r>
        <w:rPr>
          <w:rFonts w:cs="Times New Roman"/>
          <w:szCs w:val="24"/>
        </w:rPr>
        <w:t xml:space="preserve"> OPA combined with sum frequency generation (TOPAS, Light Conversion). The 480 nm output was guided via a motorized optical delay line and focused into the sample via a lens. The actinic pulse diameter at the sample was ~200 µm at 480 nm. The actinic pulse energy was adjusted to </w:t>
      </w:r>
      <w:r w:rsidR="000A0B47">
        <w:rPr>
          <w:rFonts w:cs="Times New Roman"/>
          <w:szCs w:val="24"/>
        </w:rPr>
        <w:t>2</w:t>
      </w:r>
      <w:r>
        <w:rPr>
          <w:rFonts w:cs="Times New Roman"/>
          <w:szCs w:val="24"/>
        </w:rPr>
        <w:t xml:space="preserve">00 </w:t>
      </w:r>
      <w:proofErr w:type="spellStart"/>
      <w:proofErr w:type="gramStart"/>
      <w:r>
        <w:rPr>
          <w:rFonts w:cs="Times New Roman"/>
          <w:szCs w:val="24"/>
        </w:rPr>
        <w:t>nJ</w:t>
      </w:r>
      <w:proofErr w:type="spellEnd"/>
      <w:proofErr w:type="gramEnd"/>
      <w:r>
        <w:rPr>
          <w:rFonts w:cs="Times New Roman"/>
          <w:szCs w:val="24"/>
        </w:rPr>
        <w:t xml:space="preserve"> for all experiments, corresponding to photon fluxes of ~4 x 10</w:t>
      </w:r>
      <w:r w:rsidRPr="00560455">
        <w:rPr>
          <w:rFonts w:cs="Times New Roman"/>
          <w:szCs w:val="24"/>
          <w:vertAlign w:val="superscript"/>
        </w:rPr>
        <w:t>15</w:t>
      </w:r>
      <w:r>
        <w:rPr>
          <w:rFonts w:cs="Times New Roman"/>
          <w:szCs w:val="24"/>
        </w:rPr>
        <w:t xml:space="preserve"> photons per pulse per cm</w:t>
      </w:r>
      <w:r w:rsidRPr="00FB2179">
        <w:rPr>
          <w:rFonts w:cs="Times New Roman"/>
          <w:szCs w:val="24"/>
          <w:vertAlign w:val="superscript"/>
        </w:rPr>
        <w:t>2</w:t>
      </w:r>
      <w:r>
        <w:rPr>
          <w:rFonts w:cs="Times New Roman"/>
          <w:szCs w:val="24"/>
        </w:rPr>
        <w:t xml:space="preserve"> at 480 nm. Actinic pulse train was guided via an optical chopper reducing its repetition rate to 500 Hz. Resulting experimental sequence was 96 FSRS experiments and 4 pure transmission measurements recorded for each 100 pulses, in both cases half of them pumped and half of them un-pumped. As a result, for each 100 laser pulses, 48 transient Raman experiments and 2 transient absorption experiments were conducted. Such approach has benefit over the traditional method of using two ordinary choppers where FSRS and TA are measured at an equal fraction of time. This approach is more effective, since TA signals are typically orders of magnitude stronger and require much shorter acquisition times. The transient absorption signal was subtracted from the resulting Raman spectra and all spectrally shifted Raman signals were recombined based on the spectral calibration. Resulting spectra were baseline treated by fitting the baseline by the 6</w:t>
      </w:r>
      <w:r w:rsidRPr="00E26F87">
        <w:rPr>
          <w:rFonts w:cs="Times New Roman"/>
          <w:szCs w:val="24"/>
          <w:vertAlign w:val="superscript"/>
        </w:rPr>
        <w:t>th</w:t>
      </w:r>
      <w:r>
        <w:rPr>
          <w:rFonts w:cs="Times New Roman"/>
          <w:szCs w:val="24"/>
        </w:rPr>
        <w:t xml:space="preserve"> order polynomial by the least absolute value residual method. We observed that such approach is less prone to artifacts than using the more common least square method. </w:t>
      </w:r>
      <w:r w:rsidR="00412D77">
        <w:rPr>
          <w:rFonts w:cs="Times New Roman"/>
          <w:szCs w:val="24"/>
        </w:rPr>
        <w:t>Region from 1450 cm</w:t>
      </w:r>
      <w:r w:rsidR="00412D77">
        <w:rPr>
          <w:rFonts w:cs="Times New Roman"/>
          <w:szCs w:val="24"/>
          <w:vertAlign w:val="superscript"/>
        </w:rPr>
        <w:t>-1</w:t>
      </w:r>
      <w:r w:rsidR="00412D77">
        <w:rPr>
          <w:rFonts w:cs="Times New Roman"/>
          <w:szCs w:val="24"/>
        </w:rPr>
        <w:t xml:space="preserve"> to 1900 cm</w:t>
      </w:r>
      <w:r w:rsidR="00412D77">
        <w:rPr>
          <w:rFonts w:cs="Times New Roman"/>
          <w:szCs w:val="24"/>
          <w:vertAlign w:val="superscript"/>
        </w:rPr>
        <w:t>-1</w:t>
      </w:r>
      <w:r w:rsidR="00412D77">
        <w:rPr>
          <w:rFonts w:cs="Times New Roman"/>
          <w:szCs w:val="24"/>
        </w:rPr>
        <w:t xml:space="preserve"> was excluded from the fit as it almost entirely consists of broad signals that would </w:t>
      </w:r>
      <w:r w:rsidR="000A0B47">
        <w:rPr>
          <w:rFonts w:cs="Times New Roman"/>
          <w:szCs w:val="24"/>
        </w:rPr>
        <w:t>bias</w:t>
      </w:r>
      <w:r w:rsidR="00412D77">
        <w:rPr>
          <w:rFonts w:cs="Times New Roman"/>
          <w:szCs w:val="24"/>
        </w:rPr>
        <w:t xml:space="preserve"> the baseline fit. </w:t>
      </w:r>
      <w:r>
        <w:rPr>
          <w:rFonts w:cs="Times New Roman"/>
          <w:szCs w:val="24"/>
        </w:rPr>
        <w:t xml:space="preserve">Since the same probe pulse is used to record the FSRS and TA spectra, we unified the chirp correction for FSRS and TA signals, achieving nearly ideal temporal correspondence between TA </w:t>
      </w:r>
      <w:r>
        <w:rPr>
          <w:rFonts w:cs="Times New Roman"/>
          <w:szCs w:val="24"/>
        </w:rPr>
        <w:lastRenderedPageBreak/>
        <w:t>and FSRS spectra. Samples were measured in a quartz flow cell with an internal thickness of 1 mm and outer cell wall thickness of 1.25 mm. The sample solution was flown by a peristaltic pump with a flow rate of about</w:t>
      </w:r>
      <w:r w:rsidRPr="0056444F">
        <w:rPr>
          <w:rFonts w:cs="Times New Roman"/>
          <w:szCs w:val="24"/>
        </w:rPr>
        <w:t xml:space="preserve"> 6.0 mL/min</w:t>
      </w:r>
      <w:r>
        <w:rPr>
          <w:rFonts w:cs="Times New Roman"/>
          <w:szCs w:val="24"/>
        </w:rPr>
        <w:t>.</w:t>
      </w:r>
    </w:p>
    <w:p w14:paraId="1248F703" w14:textId="369A8B8B" w:rsidR="0051590D" w:rsidRPr="009D50D4" w:rsidRDefault="009D50D4" w:rsidP="009D50D4">
      <w:pPr>
        <w:spacing w:line="360" w:lineRule="auto"/>
        <w:jc w:val="both"/>
        <w:rPr>
          <w:rFonts w:cs="Times New Roman"/>
          <w:szCs w:val="24"/>
        </w:rPr>
      </w:pPr>
      <w:r w:rsidRPr="009D50D4">
        <w:rPr>
          <w:rFonts w:cs="Times New Roman"/>
          <w:b/>
          <w:bCs/>
          <w:szCs w:val="24"/>
        </w:rPr>
        <w:t>OCP</w:t>
      </w:r>
      <w:r>
        <w:rPr>
          <w:rFonts w:cs="Times New Roman"/>
          <w:szCs w:val="24"/>
        </w:rPr>
        <w:t xml:space="preserve"> </w:t>
      </w:r>
      <w:r w:rsidR="00DE6F2C" w:rsidRPr="00DE6F2C">
        <w:rPr>
          <w:b/>
          <w:bCs/>
        </w:rPr>
        <w:t>Protein expression and purification</w:t>
      </w:r>
    </w:p>
    <w:p w14:paraId="465628BC" w14:textId="7F9BC3D1" w:rsidR="00DE6F2C" w:rsidRDefault="009D3979" w:rsidP="0051590D">
      <w:pPr>
        <w:spacing w:line="360" w:lineRule="auto"/>
        <w:jc w:val="both"/>
        <w:rPr>
          <w:rFonts w:cs="Times New Roman"/>
          <w:szCs w:val="24"/>
        </w:rPr>
      </w:pPr>
      <w:r w:rsidRPr="009D3979">
        <w:rPr>
          <w:rFonts w:cs="Times New Roman"/>
          <w:szCs w:val="24"/>
        </w:rPr>
        <w:t xml:space="preserve">To express the Orange Carotenoid Protein (OCP) from </w:t>
      </w:r>
      <w:proofErr w:type="spellStart"/>
      <w:r w:rsidRPr="009D3979">
        <w:rPr>
          <w:rFonts w:cs="Times New Roman"/>
          <w:i/>
          <w:iCs/>
          <w:szCs w:val="24"/>
        </w:rPr>
        <w:t>Synechocystis</w:t>
      </w:r>
      <w:proofErr w:type="spellEnd"/>
      <w:r w:rsidRPr="009D3979">
        <w:rPr>
          <w:rFonts w:cs="Times New Roman"/>
          <w:szCs w:val="24"/>
        </w:rPr>
        <w:t xml:space="preserve"> sp. PCC 6803, a targeted plasmid was engineered with OCP cDNA, optimized for E. coli expression using the </w:t>
      </w:r>
      <w:proofErr w:type="spellStart"/>
      <w:r w:rsidRPr="009D3979">
        <w:rPr>
          <w:rFonts w:cs="Times New Roman"/>
          <w:szCs w:val="24"/>
        </w:rPr>
        <w:t>GeneOptimizer</w:t>
      </w:r>
      <w:proofErr w:type="spellEnd"/>
      <w:r w:rsidRPr="009D3979">
        <w:rPr>
          <w:rFonts w:cs="Times New Roman"/>
          <w:szCs w:val="24"/>
        </w:rPr>
        <w:t xml:space="preserve"> algorithm. This was inserted into a modified pQE81L vector, introducing an N-terminal 6xHis tag. For incorporating carotenoid cofactors, E. coli was co-transformed with plasmids for β-carotene or zeaxanthin biosynthesis, leveraging </w:t>
      </w:r>
      <w:proofErr w:type="spellStart"/>
      <w:r w:rsidRPr="009D3979">
        <w:rPr>
          <w:rFonts w:cs="Times New Roman"/>
          <w:i/>
          <w:iCs/>
          <w:szCs w:val="24"/>
        </w:rPr>
        <w:t>Erwinia</w:t>
      </w:r>
      <w:proofErr w:type="spellEnd"/>
      <w:r w:rsidRPr="009D3979">
        <w:rPr>
          <w:rFonts w:cs="Times New Roman"/>
          <w:i/>
          <w:iCs/>
          <w:szCs w:val="24"/>
        </w:rPr>
        <w:t xml:space="preserve"> </w:t>
      </w:r>
      <w:proofErr w:type="spellStart"/>
      <w:r w:rsidRPr="009D3979">
        <w:rPr>
          <w:rFonts w:cs="Times New Roman"/>
          <w:i/>
          <w:iCs/>
          <w:szCs w:val="24"/>
        </w:rPr>
        <w:t>uredovora</w:t>
      </w:r>
      <w:proofErr w:type="spellEnd"/>
      <w:r w:rsidRPr="009D3979">
        <w:rPr>
          <w:rFonts w:cs="Times New Roman"/>
          <w:szCs w:val="24"/>
        </w:rPr>
        <w:t xml:space="preserve"> genes. Following transformation, cells were cultured on LB agar with antibiotics, </w:t>
      </w:r>
      <w:proofErr w:type="gramStart"/>
      <w:r w:rsidRPr="009D3979">
        <w:rPr>
          <w:rFonts w:cs="Times New Roman"/>
          <w:szCs w:val="24"/>
        </w:rPr>
        <w:t>then</w:t>
      </w:r>
      <w:proofErr w:type="gramEnd"/>
      <w:r w:rsidRPr="009D3979">
        <w:rPr>
          <w:rFonts w:cs="Times New Roman"/>
          <w:szCs w:val="24"/>
        </w:rPr>
        <w:t xml:space="preserve"> grown under specific conditions to ensure effective OCP expression and carotenoid integration, crucial for the protein's functionality.</w:t>
      </w:r>
    </w:p>
    <w:p w14:paraId="3CCE491A" w14:textId="1634BC50" w:rsidR="00DE6F2C" w:rsidRDefault="00DE6F2C" w:rsidP="0051590D">
      <w:pPr>
        <w:spacing w:line="360" w:lineRule="auto"/>
        <w:jc w:val="both"/>
        <w:rPr>
          <w:rFonts w:cs="Times New Roman"/>
          <w:szCs w:val="24"/>
        </w:rPr>
      </w:pPr>
      <w:r w:rsidRPr="00DE6F2C">
        <w:rPr>
          <w:rFonts w:cs="Times New Roman"/>
          <w:szCs w:val="24"/>
        </w:rPr>
        <w:t xml:space="preserve">For expressing the protein, cultures in LB-medium with chloramphenicol and ampicillin were initiated from a starter culture, reaching an optimal density before and after IPTG induction at controlled temperatures. </w:t>
      </w:r>
      <w:proofErr w:type="gramStart"/>
      <w:r w:rsidRPr="00DE6F2C">
        <w:rPr>
          <w:rFonts w:cs="Times New Roman"/>
          <w:szCs w:val="24"/>
        </w:rPr>
        <w:t>Post-induction, cell harvesting revealed carotenoid synthesis.</w:t>
      </w:r>
      <w:proofErr w:type="gramEnd"/>
      <w:r w:rsidRPr="00DE6F2C">
        <w:rPr>
          <w:rFonts w:cs="Times New Roman"/>
          <w:szCs w:val="24"/>
        </w:rPr>
        <w:t xml:space="preserve"> The cells were lysed using a phosphate buffer, lysozyme, and protease inhibitors, followed by freeze/thaw cycles. The lysate was then centrifuged to remove debris. The supernatant underwent affinity chromatography purification using specific columns, followed by concentration and desalting. This detailed procedure ensured the extraction of a pure protein solution, subsequently stored for future applications</w:t>
      </w:r>
      <w:r w:rsidR="0067643D">
        <w:rPr>
          <w:rFonts w:cs="Times New Roman"/>
          <w:szCs w:val="24"/>
        </w:rPr>
        <w:t>. D</w:t>
      </w:r>
      <w:r w:rsidR="0067643D" w:rsidRPr="00A57311">
        <w:t>etailed description</w:t>
      </w:r>
      <w:r w:rsidR="0067643D">
        <w:t xml:space="preserve"> of </w:t>
      </w:r>
      <w:r w:rsidR="0067643D" w:rsidRPr="00A57311">
        <w:t xml:space="preserve"> </w:t>
      </w:r>
      <w:r w:rsidR="0067643D">
        <w:t xml:space="preserve">the protein expression is available in the publication </w:t>
      </w:r>
      <w:r w:rsidR="0067643D">
        <w:fldChar w:fldCharType="begin" w:fldLock="1"/>
      </w:r>
      <w:r w:rsidR="0067643D">
        <w:instrText>ADDIN CSL_CITATION {"citationItems":[{"id":"ITEM-1","itemData":{"DOI":"10.1007/s11120-016-0272-8","ISSN":"0166-8595","author":[{"dropping-particle":"","family":"Maksimov","given":"E. G.","non-dropping-particle":"","parse-names":false,"suffix":""},{"dropping-particle":"","family":"Moldenhauer","given":"M.","non-dropping-particle":"","parse-names":false,"suffix":""},{"dropping-particle":"","family":"Shirshin","given":"E. A.","non-dropping-particle":"","parse-names":false,"suffix":""},{"dropping-particle":"","family":"Parshina","given":"E. A.","non-dropping-particle":"","parse-names":false,"suffix":""},{"dropping-particle":"","family":"Sluchanko","given":"N. N.","non-dropping-particle":"","parse-names":false,"suffix":""},{"dropping-particle":"","family":"Klementiev","given":"K. E.","non-dropping-particle":"","parse-names":false,"suffix":""},{"dropping-particle":"V.","family":"Tsoraev","given":"G.","non-dropping-particle":"","parse-names":false,"suffix":""},{"dropping-particle":"","family":"Tavraz","given":"N. N.","non-dropping-particle":"","parse-names":false,"suffix":""},{"dropping-particle":"","family":"Willoweit","given":"M.","non-dropping-particle":"","parse-names":false,"suffix":""},{"dropping-particle":"","family":"Schmitt","given":"F.-J.","non-dropping-particle":"","parse-names":false,"suffix":""},{"dropping-particle":"","family":"Breitenbach","given":"J.","non-dropping-particle":"","parse-names":false,"suffix":""},{"dropping-particle":"","family":"Sandmann","given":"G.","non-dropping-particle":"","parse-names":false,"suffix":""},{"dropping-particle":"","family":"Paschenko","given":"V. Z.","non-dropping-particle":"","parse-names":false,"suffix":""},{"dropping-particle":"","family":"Friedrich","given":"T.","non-dropping-particle":"","parse-names":false,"suffix":""},{"dropping-particle":"","family":"Rubin","given":"A. B.","non-dropping-particle":"","parse-names":false,"suffix":""}],"container-title":"Photosynthesis Research","id":"ITEM-1","issue":"1-3","issued":{"date-parts":[["2016","12","9"]]},"page":"389-401","title":"A comparative study of three signaling forms of the orange carotenoid protein","type":"article-journal","volume":"130"},"uris":["http://www.mendeley.com/documents/?uuid=dba7146e-7eff-4be9-8ea9-f124e1e83619"]}],"mendeley":{"formattedCitation":"&lt;sup&gt;7&lt;/sup&gt;","plainTextFormattedCitation":"7","previouslyFormattedCitation":"&lt;sup&gt;7&lt;/sup&gt;"},"properties":{"noteIndex":0},"schema":"https://github.com/citation-style-language/schema/raw/master/csl-citation.json"}</w:instrText>
      </w:r>
      <w:r w:rsidR="0067643D">
        <w:fldChar w:fldCharType="separate"/>
      </w:r>
      <w:r w:rsidR="0067643D" w:rsidRPr="0067643D">
        <w:rPr>
          <w:noProof/>
          <w:vertAlign w:val="superscript"/>
        </w:rPr>
        <w:t>7</w:t>
      </w:r>
      <w:r w:rsidR="0067643D">
        <w:fldChar w:fldCharType="end"/>
      </w:r>
      <w:r w:rsidR="0067643D">
        <w:t xml:space="preserve">. </w:t>
      </w:r>
    </w:p>
    <w:p w14:paraId="7493BD57" w14:textId="77777777" w:rsidR="00567142" w:rsidRDefault="00567142" w:rsidP="0051590D">
      <w:pPr>
        <w:spacing w:line="360" w:lineRule="auto"/>
        <w:jc w:val="both"/>
        <w:rPr>
          <w:rStyle w:val="xfontstyle0"/>
        </w:rPr>
      </w:pPr>
    </w:p>
    <w:p w14:paraId="6B521102" w14:textId="77777777" w:rsidR="00567142" w:rsidRPr="00DE6F2C" w:rsidRDefault="00567142" w:rsidP="0051590D">
      <w:pPr>
        <w:spacing w:line="360" w:lineRule="auto"/>
        <w:jc w:val="both"/>
        <w:rPr>
          <w:rFonts w:cs="Times New Roman"/>
          <w:szCs w:val="24"/>
        </w:rPr>
      </w:pPr>
    </w:p>
    <w:p w14:paraId="6F9FCDD7" w14:textId="77777777" w:rsidR="001548A8" w:rsidRDefault="001548A8" w:rsidP="0008356A">
      <w:pPr>
        <w:jc w:val="both"/>
        <w:rPr>
          <w:rFonts w:cs="Times New Roman"/>
          <w:szCs w:val="24"/>
        </w:rPr>
      </w:pPr>
      <w:r>
        <w:rPr>
          <w:rFonts w:cs="Times New Roman"/>
          <w:szCs w:val="24"/>
        </w:rPr>
        <w:br w:type="page"/>
      </w:r>
    </w:p>
    <w:p w14:paraId="47618A86" w14:textId="31263EEC" w:rsidR="00133845" w:rsidRDefault="00ED7E40">
      <w:pPr>
        <w:rPr>
          <w:noProof/>
        </w:rPr>
      </w:pPr>
      <w:r>
        <w:rPr>
          <w:noProof/>
        </w:rPr>
        <w:lastRenderedPageBreak/>
        <w:drawing>
          <wp:inline distT="0" distB="0" distL="0" distR="0" wp14:anchorId="6B9E9E8A" wp14:editId="59056FA3">
            <wp:extent cx="5972810" cy="3382010"/>
            <wp:effectExtent l="0" t="0" r="8890" b="8890"/>
            <wp:docPr id="1583033318" name="Picture 1" descr="A graph showing a normalized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33318" name="Picture 1" descr="A graph showing a normalized pu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3382010"/>
                    </a:xfrm>
                    <a:prstGeom prst="rect">
                      <a:avLst/>
                    </a:prstGeom>
                    <a:noFill/>
                    <a:ln>
                      <a:noFill/>
                    </a:ln>
                  </pic:spPr>
                </pic:pic>
              </a:graphicData>
            </a:graphic>
          </wp:inline>
        </w:drawing>
      </w:r>
    </w:p>
    <w:p w14:paraId="040C1B03" w14:textId="62D216E3" w:rsidR="00062D4A" w:rsidRDefault="00062D4A" w:rsidP="00062D4A">
      <w:pPr>
        <w:tabs>
          <w:tab w:val="left" w:pos="536"/>
        </w:tabs>
        <w:rPr>
          <w:noProof/>
        </w:rPr>
      </w:pPr>
    </w:p>
    <w:p w14:paraId="5F74FDE2" w14:textId="77777777" w:rsidR="0039737E" w:rsidRDefault="0039737E" w:rsidP="00062D4A">
      <w:pPr>
        <w:tabs>
          <w:tab w:val="left" w:pos="536"/>
        </w:tabs>
        <w:rPr>
          <w:noProof/>
        </w:rPr>
      </w:pPr>
      <w:r>
        <w:rPr>
          <w:noProof/>
        </w:rPr>
        <w:t>Figure S1</w:t>
      </w:r>
    </w:p>
    <w:p w14:paraId="263C9EFF" w14:textId="20A102C1" w:rsidR="00062D4A" w:rsidRDefault="002E6455">
      <w:pPr>
        <w:rPr>
          <w:noProof/>
        </w:rPr>
      </w:pPr>
      <w:r>
        <w:rPr>
          <w:noProof/>
        </w:rPr>
        <w:t xml:space="preserve">Difference between OCPr and OCPo </w:t>
      </w:r>
      <w:r w:rsidR="00C55C88">
        <w:rPr>
          <w:noProof/>
        </w:rPr>
        <w:t xml:space="preserve">ground state </w:t>
      </w:r>
      <w:r>
        <w:rPr>
          <w:noProof/>
        </w:rPr>
        <w:t xml:space="preserve">FSRS </w:t>
      </w:r>
      <w:r w:rsidR="00E5069E">
        <w:rPr>
          <w:noProof/>
        </w:rPr>
        <w:t xml:space="preserve">Stokes </w:t>
      </w:r>
      <w:r>
        <w:rPr>
          <w:noProof/>
        </w:rPr>
        <w:t xml:space="preserve">spectra </w:t>
      </w:r>
      <w:r w:rsidR="00DA3E13">
        <w:rPr>
          <w:noProof/>
        </w:rPr>
        <w:t>normalized by integral under the curve</w:t>
      </w:r>
      <w:r>
        <w:rPr>
          <w:noProof/>
        </w:rPr>
        <w:t>.</w:t>
      </w:r>
      <w:r w:rsidR="00062D4A">
        <w:rPr>
          <w:noProof/>
        </w:rPr>
        <w:br w:type="page"/>
      </w:r>
    </w:p>
    <w:p w14:paraId="7EAC5295" w14:textId="27FBE69A" w:rsidR="0039737E" w:rsidRDefault="00ED7E40">
      <w:pPr>
        <w:rPr>
          <w:noProof/>
        </w:rPr>
      </w:pPr>
      <w:r>
        <w:rPr>
          <w:noProof/>
        </w:rPr>
        <w:lastRenderedPageBreak/>
        <w:drawing>
          <wp:inline distT="0" distB="0" distL="0" distR="0" wp14:anchorId="563312CA" wp14:editId="0F736564">
            <wp:extent cx="5972810" cy="3382010"/>
            <wp:effectExtent l="0" t="0" r="8890" b="8890"/>
            <wp:docPr id="648975645" name="Picture 3" descr="A graph showing a number of different types of sign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75645" name="Picture 3" descr="A graph showing a number of different types of signal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3382010"/>
                    </a:xfrm>
                    <a:prstGeom prst="rect">
                      <a:avLst/>
                    </a:prstGeom>
                    <a:noFill/>
                    <a:ln>
                      <a:noFill/>
                    </a:ln>
                  </pic:spPr>
                </pic:pic>
              </a:graphicData>
            </a:graphic>
          </wp:inline>
        </w:drawing>
      </w:r>
    </w:p>
    <w:p w14:paraId="33E915F1" w14:textId="77777777" w:rsidR="002E6455" w:rsidRDefault="0039737E">
      <w:pPr>
        <w:rPr>
          <w:noProof/>
        </w:rPr>
      </w:pPr>
      <w:r>
        <w:rPr>
          <w:noProof/>
        </w:rPr>
        <w:t>Figure S2</w:t>
      </w:r>
    </w:p>
    <w:p w14:paraId="0FFB831D" w14:textId="2B35BAE3" w:rsidR="00062D4A" w:rsidRDefault="002E6455">
      <w:pPr>
        <w:rPr>
          <w:noProof/>
        </w:rPr>
      </w:pPr>
      <w:r>
        <w:rPr>
          <w:noProof/>
        </w:rPr>
        <w:t xml:space="preserve">Difference between OCPr and OCPo </w:t>
      </w:r>
      <w:r w:rsidR="00C55C88">
        <w:rPr>
          <w:noProof/>
        </w:rPr>
        <w:t xml:space="preserve">ground state </w:t>
      </w:r>
      <w:r>
        <w:rPr>
          <w:noProof/>
        </w:rPr>
        <w:t>FSRS anti-</w:t>
      </w:r>
      <w:r w:rsidR="00A564D5">
        <w:rPr>
          <w:noProof/>
        </w:rPr>
        <w:t xml:space="preserve">Stokes </w:t>
      </w:r>
      <w:r>
        <w:rPr>
          <w:noProof/>
        </w:rPr>
        <w:t xml:space="preserve">spectra </w:t>
      </w:r>
      <w:r w:rsidR="00DA3E13">
        <w:rPr>
          <w:noProof/>
        </w:rPr>
        <w:t>normalized by integral under the curve</w:t>
      </w:r>
      <w:r>
        <w:rPr>
          <w:noProof/>
        </w:rPr>
        <w:t>.</w:t>
      </w:r>
      <w:r w:rsidR="00062D4A">
        <w:rPr>
          <w:noProof/>
        </w:rPr>
        <w:br w:type="page"/>
      </w:r>
    </w:p>
    <w:p w14:paraId="3EE1AABB" w14:textId="473BABF3" w:rsidR="00E10878" w:rsidRDefault="00E10878">
      <w:pPr>
        <w:rPr>
          <w:noProof/>
        </w:rPr>
      </w:pPr>
      <w:r>
        <w:rPr>
          <w:noProof/>
        </w:rPr>
        <w:lastRenderedPageBreak/>
        <w:drawing>
          <wp:inline distT="0" distB="0" distL="0" distR="0" wp14:anchorId="66A1CCAA" wp14:editId="05603D81">
            <wp:extent cx="5972810" cy="3495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_chex_GS.tif"/>
                    <pic:cNvPicPr/>
                  </pic:nvPicPr>
                  <pic:blipFill rotWithShape="1">
                    <a:blip r:embed="rId11" cstate="print">
                      <a:extLst>
                        <a:ext uri="{28A0092B-C50C-407E-A947-70E740481C1C}">
                          <a14:useLocalDpi xmlns:a14="http://schemas.microsoft.com/office/drawing/2010/main" val="0"/>
                        </a:ext>
                      </a:extLst>
                    </a:blip>
                    <a:srcRect l="9399" r="6955"/>
                    <a:stretch/>
                  </pic:blipFill>
                  <pic:spPr bwMode="auto">
                    <a:xfrm>
                      <a:off x="0" y="0"/>
                      <a:ext cx="5972810" cy="3495587"/>
                    </a:xfrm>
                    <a:prstGeom prst="rect">
                      <a:avLst/>
                    </a:prstGeom>
                    <a:ln>
                      <a:noFill/>
                    </a:ln>
                    <a:extLst>
                      <a:ext uri="{53640926-AAD7-44D8-BBD7-CCE9431645EC}">
                        <a14:shadowObscured xmlns:a14="http://schemas.microsoft.com/office/drawing/2010/main"/>
                      </a:ext>
                    </a:extLst>
                  </pic:spPr>
                </pic:pic>
              </a:graphicData>
            </a:graphic>
          </wp:inline>
        </w:drawing>
      </w:r>
    </w:p>
    <w:p w14:paraId="1D8967AE" w14:textId="77777777" w:rsidR="00E10878" w:rsidRDefault="00E10878">
      <w:pPr>
        <w:rPr>
          <w:noProof/>
        </w:rPr>
      </w:pPr>
    </w:p>
    <w:p w14:paraId="3B5B3788" w14:textId="59C74E2A" w:rsidR="00E10878" w:rsidRDefault="00E10878" w:rsidP="00E10878">
      <w:r>
        <w:t>Figure S3</w:t>
      </w:r>
    </w:p>
    <w:p w14:paraId="356E3486" w14:textId="389E5D17" w:rsidR="00E10878" w:rsidRDefault="004B486B" w:rsidP="00E10878">
      <w:proofErr w:type="gramStart"/>
      <w:r>
        <w:t xml:space="preserve">Ground state </w:t>
      </w:r>
      <w:r w:rsidR="00E10878">
        <w:t>FSRS spectra of echinenone in cyclohexane</w:t>
      </w:r>
      <w:r>
        <w:t>.</w:t>
      </w:r>
      <w:proofErr w:type="gramEnd"/>
    </w:p>
    <w:p w14:paraId="5D26D4EA" w14:textId="649E2781" w:rsidR="00E10878" w:rsidRDefault="00E10878">
      <w:pPr>
        <w:rPr>
          <w:noProof/>
        </w:rPr>
      </w:pPr>
      <w:r>
        <w:rPr>
          <w:noProof/>
        </w:rPr>
        <w:br w:type="page"/>
      </w:r>
    </w:p>
    <w:p w14:paraId="225E7A60" w14:textId="77777777" w:rsidR="00E10878" w:rsidRDefault="00E10878">
      <w:pPr>
        <w:rPr>
          <w:noProof/>
        </w:rPr>
      </w:pPr>
    </w:p>
    <w:p w14:paraId="149C3220" w14:textId="77777777" w:rsidR="00E10878" w:rsidRDefault="00E10878">
      <w:pPr>
        <w:rPr>
          <w:noProof/>
        </w:rPr>
      </w:pPr>
    </w:p>
    <w:p w14:paraId="24E06F32" w14:textId="77777777" w:rsidR="00062D4A" w:rsidRDefault="00062D4A" w:rsidP="00062D4A">
      <w:pPr>
        <w:tabs>
          <w:tab w:val="left" w:pos="536"/>
        </w:tabs>
        <w:rPr>
          <w:noProof/>
        </w:rPr>
      </w:pPr>
    </w:p>
    <w:p w14:paraId="725F8E70" w14:textId="0334AF92" w:rsidR="00D97C2D" w:rsidRDefault="00B6000C">
      <w:r>
        <w:rPr>
          <w:noProof/>
        </w:rPr>
        <w:drawing>
          <wp:inline distT="0" distB="0" distL="0" distR="0" wp14:anchorId="17402F29" wp14:editId="5A36A8C4">
            <wp:extent cx="5771426" cy="2933480"/>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_01_wiht_S2_02.tif"/>
                    <pic:cNvPicPr/>
                  </pic:nvPicPr>
                  <pic:blipFill rotWithShape="1">
                    <a:blip r:embed="rId12" cstate="print">
                      <a:extLst>
                        <a:ext uri="{28A0092B-C50C-407E-A947-70E740481C1C}">
                          <a14:useLocalDpi xmlns:a14="http://schemas.microsoft.com/office/drawing/2010/main" val="0"/>
                        </a:ext>
                      </a:extLst>
                    </a:blip>
                    <a:srcRect l="5490" t="5008" r="3599" b="4836"/>
                    <a:stretch/>
                  </pic:blipFill>
                  <pic:spPr bwMode="auto">
                    <a:xfrm>
                      <a:off x="0" y="0"/>
                      <a:ext cx="5773317" cy="2934441"/>
                    </a:xfrm>
                    <a:prstGeom prst="rect">
                      <a:avLst/>
                    </a:prstGeom>
                    <a:ln>
                      <a:noFill/>
                    </a:ln>
                    <a:extLst>
                      <a:ext uri="{53640926-AAD7-44D8-BBD7-CCE9431645EC}">
                        <a14:shadowObscured xmlns:a14="http://schemas.microsoft.com/office/drawing/2010/main"/>
                      </a:ext>
                    </a:extLst>
                  </pic:spPr>
                </pic:pic>
              </a:graphicData>
            </a:graphic>
          </wp:inline>
        </w:drawing>
      </w:r>
    </w:p>
    <w:p w14:paraId="56E85BF7" w14:textId="522A9825" w:rsidR="002E6455" w:rsidRDefault="0039737E">
      <w:r>
        <w:t xml:space="preserve">Figure </w:t>
      </w:r>
      <w:r w:rsidR="00AF54D7">
        <w:t>S4</w:t>
      </w:r>
    </w:p>
    <w:p w14:paraId="2B1D078C" w14:textId="2AD5CAEA" w:rsidR="00D97C2D" w:rsidRDefault="002E6455">
      <w:proofErr w:type="gramStart"/>
      <w:r>
        <w:t xml:space="preserve">Full </w:t>
      </w:r>
      <w:r w:rsidR="00A44BA1">
        <w:t xml:space="preserve">global analysis </w:t>
      </w:r>
      <w:r>
        <w:t xml:space="preserve">including </w:t>
      </w:r>
      <w:r w:rsidR="00C039BE">
        <w:t xml:space="preserve">the </w:t>
      </w:r>
      <w:r>
        <w:t xml:space="preserve">70 fs </w:t>
      </w:r>
      <w:r w:rsidR="004B486B">
        <w:t xml:space="preserve">and 140 fs </w:t>
      </w:r>
      <w:r>
        <w:t>component</w:t>
      </w:r>
      <w:r w:rsidR="004B486B">
        <w:t>s</w:t>
      </w:r>
      <w:r>
        <w:t xml:space="preserve"> </w:t>
      </w:r>
      <w:r w:rsidR="00C039BE">
        <w:t xml:space="preserve">that </w:t>
      </w:r>
      <w:r w:rsidR="004B486B">
        <w:t>are</w:t>
      </w:r>
      <w:r w:rsidR="00C039BE">
        <w:t xml:space="preserve"> poorly </w:t>
      </w:r>
      <w:r>
        <w:t xml:space="preserve">resolved </w:t>
      </w:r>
      <w:r w:rsidR="00F60AB0">
        <w:t xml:space="preserve">for echinenone </w:t>
      </w:r>
      <w:r>
        <w:t xml:space="preserve">in </w:t>
      </w:r>
      <w:r w:rsidR="00C039BE">
        <w:t xml:space="preserve">the </w:t>
      </w:r>
      <w:r>
        <w:t>solvents.</w:t>
      </w:r>
      <w:proofErr w:type="gramEnd"/>
      <w:r>
        <w:t xml:space="preserve"> In contrast</w:t>
      </w:r>
      <w:r w:rsidR="001548A8">
        <w:t xml:space="preserve"> to </w:t>
      </w:r>
      <w:r w:rsidR="00C039BE">
        <w:t xml:space="preserve">the EADS </w:t>
      </w:r>
      <w:r w:rsidR="001548A8">
        <w:t>from</w:t>
      </w:r>
      <w:r>
        <w:t xml:space="preserve"> </w:t>
      </w:r>
      <w:proofErr w:type="spellStart"/>
      <w:r>
        <w:t>OCP</w:t>
      </w:r>
      <w:r w:rsidR="001548A8">
        <w:t>o</w:t>
      </w:r>
      <w:proofErr w:type="spellEnd"/>
      <w:r w:rsidR="001548A8">
        <w:t>, the</w:t>
      </w:r>
      <w:r>
        <w:t xml:space="preserve"> 70</w:t>
      </w:r>
      <w:r w:rsidR="001548A8">
        <w:t xml:space="preserve"> </w:t>
      </w:r>
      <w:r>
        <w:t xml:space="preserve">fs and 140 fs </w:t>
      </w:r>
      <w:r w:rsidR="00A44BA1">
        <w:t xml:space="preserve">FSRS </w:t>
      </w:r>
      <w:r w:rsidR="00C039BE">
        <w:t xml:space="preserve">EADS </w:t>
      </w:r>
      <w:r w:rsidR="004B486B">
        <w:t>tends</w:t>
      </w:r>
      <w:r>
        <w:t xml:space="preserve"> to compensate each other</w:t>
      </w:r>
      <w:r w:rsidR="001548A8">
        <w:t xml:space="preserve"> in </w:t>
      </w:r>
      <w:r w:rsidR="00C039BE">
        <w:t xml:space="preserve">the </w:t>
      </w:r>
      <w:r w:rsidR="001548A8">
        <w:t>solvents</w:t>
      </w:r>
      <w:r w:rsidR="00243272">
        <w:t>, cf. Fig.4</w:t>
      </w:r>
      <w:r>
        <w:t>.</w:t>
      </w:r>
      <w:r w:rsidR="00D97C2D">
        <w:br w:type="page"/>
      </w:r>
    </w:p>
    <w:p w14:paraId="3E36B373" w14:textId="1E98AA4F" w:rsidR="00171E6C" w:rsidRDefault="00171E6C"/>
    <w:p w14:paraId="538F0CBB" w14:textId="77777777" w:rsidR="008965B3" w:rsidRDefault="00171E6C">
      <w:r>
        <w:rPr>
          <w:noProof/>
        </w:rPr>
        <w:drawing>
          <wp:inline distT="0" distB="0" distL="0" distR="0" wp14:anchorId="7D3A1E87" wp14:editId="39B21914">
            <wp:extent cx="5972810" cy="3061335"/>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_01_PS_componen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3061335"/>
                    </a:xfrm>
                    <a:prstGeom prst="rect">
                      <a:avLst/>
                    </a:prstGeom>
                  </pic:spPr>
                </pic:pic>
              </a:graphicData>
            </a:graphic>
          </wp:inline>
        </w:drawing>
      </w:r>
    </w:p>
    <w:p w14:paraId="31E8467D" w14:textId="2A321C81" w:rsidR="0039737E" w:rsidRDefault="0039737E">
      <w:r>
        <w:t xml:space="preserve">Figure </w:t>
      </w:r>
      <w:r w:rsidR="00AF54D7">
        <w:t>S</w:t>
      </w:r>
      <w:r w:rsidR="00D17391">
        <w:t>5</w:t>
      </w:r>
    </w:p>
    <w:p w14:paraId="36E4FA1C" w14:textId="36E6EF63" w:rsidR="008965B3" w:rsidRDefault="002E6455">
      <w:r>
        <w:t xml:space="preserve">Picosecond </w:t>
      </w:r>
      <w:r w:rsidR="00243272">
        <w:t xml:space="preserve">FSRS EADS </w:t>
      </w:r>
      <w:r w:rsidR="00031462">
        <w:t xml:space="preserve">of echinenone in OCP and in solvent </w:t>
      </w:r>
      <w:r>
        <w:t>with full TA spectra</w:t>
      </w:r>
      <w:r w:rsidR="00243272">
        <w:t>, cf. Fig.5</w:t>
      </w:r>
      <w:r w:rsidR="00031462">
        <w:t>.</w:t>
      </w:r>
      <w:r w:rsidR="008965B3">
        <w:br w:type="page"/>
      </w:r>
    </w:p>
    <w:p w14:paraId="095BCFB4" w14:textId="77777777" w:rsidR="00C84370" w:rsidRDefault="008965B3">
      <w:r>
        <w:rPr>
          <w:noProof/>
        </w:rPr>
        <w:lastRenderedPageBreak/>
        <w:drawing>
          <wp:inline distT="0" distB="0" distL="0" distR="0" wp14:anchorId="0078EDCF" wp14:editId="10C90550">
            <wp:extent cx="5662211" cy="309688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_01_PS_component_04_wiht_data_tips.tif"/>
                    <pic:cNvPicPr/>
                  </pic:nvPicPr>
                  <pic:blipFill rotWithShape="1">
                    <a:blip r:embed="rId14" cstate="print">
                      <a:extLst>
                        <a:ext uri="{28A0092B-C50C-407E-A947-70E740481C1C}">
                          <a14:useLocalDpi xmlns:a14="http://schemas.microsoft.com/office/drawing/2010/main" val="0"/>
                        </a:ext>
                      </a:extLst>
                    </a:blip>
                    <a:srcRect l="9248" t="1771" r="19942" b="19124"/>
                    <a:stretch/>
                  </pic:blipFill>
                  <pic:spPr bwMode="auto">
                    <a:xfrm>
                      <a:off x="0" y="0"/>
                      <a:ext cx="5665371" cy="3098611"/>
                    </a:xfrm>
                    <a:prstGeom prst="rect">
                      <a:avLst/>
                    </a:prstGeom>
                    <a:ln>
                      <a:noFill/>
                    </a:ln>
                    <a:extLst>
                      <a:ext uri="{53640926-AAD7-44D8-BBD7-CCE9431645EC}">
                        <a14:shadowObscured xmlns:a14="http://schemas.microsoft.com/office/drawing/2010/main"/>
                      </a:ext>
                    </a:extLst>
                  </pic:spPr>
                </pic:pic>
              </a:graphicData>
            </a:graphic>
          </wp:inline>
        </w:drawing>
      </w:r>
    </w:p>
    <w:p w14:paraId="223BE377" w14:textId="3B8078D0" w:rsidR="0039737E" w:rsidRDefault="0039737E">
      <w:r>
        <w:t xml:space="preserve">Figure </w:t>
      </w:r>
      <w:r w:rsidR="00AF54D7">
        <w:t>S</w:t>
      </w:r>
      <w:r w:rsidR="00D17391">
        <w:t>6</w:t>
      </w:r>
    </w:p>
    <w:p w14:paraId="6E92131C" w14:textId="7B40C745" w:rsidR="00C84370" w:rsidRDefault="00C277A0">
      <w:r>
        <w:t xml:space="preserve">Picosecond </w:t>
      </w:r>
      <w:r w:rsidR="002E6455">
        <w:t>and longest component</w:t>
      </w:r>
      <w:r>
        <w:t>s</w:t>
      </w:r>
      <w:r w:rsidR="002E6455">
        <w:t xml:space="preserve"> with exact peak positions </w:t>
      </w:r>
      <w:proofErr w:type="gramStart"/>
      <w:r w:rsidR="002E6455">
        <w:t>marked</w:t>
      </w:r>
      <w:r w:rsidR="00243272">
        <w:t>,</w:t>
      </w:r>
      <w:proofErr w:type="gramEnd"/>
      <w:r w:rsidR="00243272">
        <w:t xml:space="preserve"> cf. Fig.5</w:t>
      </w:r>
      <w:r w:rsidR="00031462">
        <w:t>.</w:t>
      </w:r>
      <w:r w:rsidR="00C84370">
        <w:br w:type="page"/>
      </w:r>
    </w:p>
    <w:p w14:paraId="74F412ED" w14:textId="77777777" w:rsidR="00D31D09" w:rsidRDefault="00C84370">
      <w:r>
        <w:rPr>
          <w:noProof/>
        </w:rPr>
        <w:lastRenderedPageBreak/>
        <w:drawing>
          <wp:inline distT="0" distB="0" distL="0" distR="0" wp14:anchorId="709CC782" wp14:editId="499EC4C8">
            <wp:extent cx="5972810" cy="3061335"/>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_01_long_componentst_0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061335"/>
                    </a:xfrm>
                    <a:prstGeom prst="rect">
                      <a:avLst/>
                    </a:prstGeom>
                  </pic:spPr>
                </pic:pic>
              </a:graphicData>
            </a:graphic>
          </wp:inline>
        </w:drawing>
      </w:r>
    </w:p>
    <w:p w14:paraId="528714BE" w14:textId="191AE371" w:rsidR="0039737E" w:rsidRDefault="0039737E">
      <w:r>
        <w:t xml:space="preserve">Figure </w:t>
      </w:r>
      <w:r w:rsidR="00AF54D7">
        <w:t>S</w:t>
      </w:r>
      <w:r w:rsidR="00D17391">
        <w:t>7</w:t>
      </w:r>
    </w:p>
    <w:p w14:paraId="2333A699" w14:textId="7D008EB0" w:rsidR="002E6455" w:rsidRDefault="002E6455">
      <w:proofErr w:type="gramStart"/>
      <w:r>
        <w:t>Longest fitted components</w:t>
      </w:r>
      <w:r w:rsidR="001548A8">
        <w:t>.</w:t>
      </w:r>
      <w:proofErr w:type="gramEnd"/>
      <w:r w:rsidR="001548A8">
        <w:t xml:space="preserve"> In case of </w:t>
      </w:r>
      <w:proofErr w:type="spellStart"/>
      <w:r w:rsidR="001548A8">
        <w:t>OCPo</w:t>
      </w:r>
      <w:proofErr w:type="spellEnd"/>
      <w:r w:rsidR="001548A8">
        <w:t xml:space="preserve"> the green component </w:t>
      </w:r>
      <w:r w:rsidR="00031462">
        <w:t>represents the S* state</w:t>
      </w:r>
      <w:r w:rsidR="00243272">
        <w:t>, cf. Fig.5.</w:t>
      </w:r>
    </w:p>
    <w:p w14:paraId="0F8B12CD" w14:textId="77777777" w:rsidR="00D31D09" w:rsidRDefault="00D31D09">
      <w:r>
        <w:br w:type="page"/>
      </w:r>
    </w:p>
    <w:p w14:paraId="70F7A015" w14:textId="0E61F0BE" w:rsidR="00F464B5" w:rsidRPr="00F464B5" w:rsidRDefault="00F464B5">
      <w:pPr>
        <w:rPr>
          <w:b/>
        </w:rPr>
      </w:pPr>
      <w:r w:rsidRPr="00F464B5">
        <w:rPr>
          <w:b/>
        </w:rPr>
        <w:lastRenderedPageBreak/>
        <w:t>Raw data overview</w:t>
      </w:r>
    </w:p>
    <w:p w14:paraId="4956E621" w14:textId="14ED8081" w:rsidR="00FB5C93" w:rsidRDefault="00904AE0">
      <w:r>
        <w:rPr>
          <w:noProof/>
        </w:rPr>
        <w:drawing>
          <wp:inline distT="0" distB="0" distL="0" distR="0" wp14:anchorId="247043DB" wp14:editId="4051CB8E">
            <wp:extent cx="2893959" cy="5699760"/>
            <wp:effectExtent l="0" t="0" r="1905" b="0"/>
            <wp:docPr id="1937508542" name="Picture 1" descr="A close-up of a measur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08542" name="Picture 1" descr="A close-up of a measuring cup&#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988" r="63257"/>
                    <a:stretch/>
                  </pic:blipFill>
                  <pic:spPr bwMode="auto">
                    <a:xfrm>
                      <a:off x="0" y="0"/>
                      <a:ext cx="2904525" cy="57205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C355B3" wp14:editId="73AFF4DE">
            <wp:extent cx="3046730" cy="5635654"/>
            <wp:effectExtent l="0" t="0" r="1270" b="3175"/>
            <wp:docPr id="1663639023" name="Picture 2" descr="A close-up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9023" name="Picture 2" descr="A close-up of a graph"/>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24" r="62059"/>
                    <a:stretch/>
                  </pic:blipFill>
                  <pic:spPr bwMode="auto">
                    <a:xfrm>
                      <a:off x="0" y="0"/>
                      <a:ext cx="3046761" cy="5635712"/>
                    </a:xfrm>
                    <a:prstGeom prst="rect">
                      <a:avLst/>
                    </a:prstGeom>
                    <a:noFill/>
                    <a:ln>
                      <a:noFill/>
                    </a:ln>
                    <a:extLst>
                      <a:ext uri="{53640926-AAD7-44D8-BBD7-CCE9431645EC}">
                        <a14:shadowObscured xmlns:a14="http://schemas.microsoft.com/office/drawing/2010/main"/>
                      </a:ext>
                    </a:extLst>
                  </pic:spPr>
                </pic:pic>
              </a:graphicData>
            </a:graphic>
          </wp:inline>
        </w:drawing>
      </w:r>
    </w:p>
    <w:p w14:paraId="32C782E1" w14:textId="77777777" w:rsidR="00904AE0" w:rsidRDefault="00904AE0"/>
    <w:p w14:paraId="20512883" w14:textId="47E35EDF" w:rsidR="001C0F21" w:rsidRDefault="001C0F21">
      <w:r>
        <w:t xml:space="preserve">Figure </w:t>
      </w:r>
      <w:r w:rsidR="00AF54D7">
        <w:t>S</w:t>
      </w:r>
      <w:r w:rsidR="00D17391">
        <w:t>8</w:t>
      </w:r>
    </w:p>
    <w:p w14:paraId="7A1D385A" w14:textId="77777777" w:rsidR="00A669AC" w:rsidRDefault="001C0F21">
      <w:proofErr w:type="gramStart"/>
      <w:r>
        <w:t>Stokes and anti-Stokes Raman raw spectra.</w:t>
      </w:r>
      <w:proofErr w:type="gramEnd"/>
      <w:r>
        <w:t xml:space="preserve"> </w:t>
      </w:r>
      <w:proofErr w:type="gramStart"/>
      <w:r>
        <w:t>Echinenone in cyclohexane.</w:t>
      </w:r>
      <w:proofErr w:type="gramEnd"/>
      <w:r>
        <w:t xml:space="preserve"> Spectra are not </w:t>
      </w:r>
      <w:r w:rsidR="003C3A10">
        <w:t>GVD corrected</w:t>
      </w:r>
    </w:p>
    <w:p w14:paraId="1C9957A6" w14:textId="77777777" w:rsidR="00A669AC" w:rsidRDefault="00A669AC">
      <w:r>
        <w:br w:type="page"/>
      </w:r>
    </w:p>
    <w:p w14:paraId="0B88433C" w14:textId="4E07CEE7" w:rsidR="000E281B" w:rsidRDefault="001C0F21">
      <w:r>
        <w:lastRenderedPageBreak/>
        <w:t>.</w:t>
      </w:r>
    </w:p>
    <w:p w14:paraId="78A4D868" w14:textId="5740112A" w:rsidR="000E281B" w:rsidRDefault="000E281B">
      <w:r>
        <w:rPr>
          <w:noProof/>
        </w:rPr>
        <w:drawing>
          <wp:inline distT="0" distB="0" distL="0" distR="0" wp14:anchorId="147C4507" wp14:editId="6D07BC81">
            <wp:extent cx="2965787" cy="4362161"/>
            <wp:effectExtent l="0" t="0" r="6350" b="635"/>
            <wp:docPr id="224825632"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25632" name="Picture 1" descr="A graph of a graph of a graph&#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6478" r="61255"/>
                    <a:stretch/>
                  </pic:blipFill>
                  <pic:spPr bwMode="auto">
                    <a:xfrm>
                      <a:off x="0" y="0"/>
                      <a:ext cx="2984060" cy="43890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E138DB" wp14:editId="24378525">
            <wp:extent cx="2996418" cy="4391318"/>
            <wp:effectExtent l="0" t="0" r="0" b="0"/>
            <wp:docPr id="1252699587" name="Picture 2" descr="A graph of 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9587" name="Picture 2" descr="A graph of a graph with numbers and text&#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5772" r="61844"/>
                    <a:stretch/>
                  </pic:blipFill>
                  <pic:spPr bwMode="auto">
                    <a:xfrm>
                      <a:off x="0" y="0"/>
                      <a:ext cx="3021035" cy="4427395"/>
                    </a:xfrm>
                    <a:prstGeom prst="rect">
                      <a:avLst/>
                    </a:prstGeom>
                    <a:noFill/>
                    <a:ln>
                      <a:noFill/>
                    </a:ln>
                    <a:extLst>
                      <a:ext uri="{53640926-AAD7-44D8-BBD7-CCE9431645EC}">
                        <a14:shadowObscured xmlns:a14="http://schemas.microsoft.com/office/drawing/2010/main"/>
                      </a:ext>
                    </a:extLst>
                  </pic:spPr>
                </pic:pic>
              </a:graphicData>
            </a:graphic>
          </wp:inline>
        </w:drawing>
      </w:r>
    </w:p>
    <w:p w14:paraId="4A7FA6CA" w14:textId="35E8087D" w:rsidR="001C0F21" w:rsidRDefault="000E281B">
      <w:r>
        <w:t xml:space="preserve">Figure </w:t>
      </w:r>
      <w:r w:rsidR="00AF54D7">
        <w:t>S</w:t>
      </w:r>
      <w:r w:rsidR="00D17391">
        <w:t>9</w:t>
      </w:r>
    </w:p>
    <w:p w14:paraId="0638D984" w14:textId="590F6BE3" w:rsidR="000E281B" w:rsidRDefault="000E281B">
      <w:r>
        <w:t xml:space="preserve">TA spectra. </w:t>
      </w:r>
      <w:proofErr w:type="gramStart"/>
      <w:r>
        <w:t>Echinenone in cyclohexane.</w:t>
      </w:r>
      <w:proofErr w:type="gramEnd"/>
      <w:r>
        <w:t xml:space="preserve"> Data are not </w:t>
      </w:r>
      <w:r w:rsidR="003C3A10">
        <w:t>GVD corrected</w:t>
      </w:r>
      <w:r>
        <w:t xml:space="preserve">. </w:t>
      </w:r>
    </w:p>
    <w:p w14:paraId="6E71AB60" w14:textId="22511200" w:rsidR="00904AE0" w:rsidRDefault="00904AE0">
      <w:r>
        <w:rPr>
          <w:noProof/>
        </w:rPr>
        <w:lastRenderedPageBreak/>
        <w:drawing>
          <wp:inline distT="0" distB="0" distL="0" distR="0" wp14:anchorId="599D2923" wp14:editId="40435F68">
            <wp:extent cx="2769846" cy="5283200"/>
            <wp:effectExtent l="0" t="0" r="0" b="0"/>
            <wp:docPr id="414920155"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0155" name="Picture 3" descr="A close-up of a graph&#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22" t="6789" r="64855" b="3545"/>
                    <a:stretch/>
                  </pic:blipFill>
                  <pic:spPr bwMode="auto">
                    <a:xfrm>
                      <a:off x="0" y="0"/>
                      <a:ext cx="2779282" cy="53011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3A0B77" wp14:editId="2DB2D287">
            <wp:extent cx="2821638" cy="5226050"/>
            <wp:effectExtent l="0" t="0" r="0" b="0"/>
            <wp:docPr id="560084510"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84510" name="Picture 4" descr="A close-up of a graph&#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123" t="7156" r="64589" b="3601"/>
                    <a:stretch/>
                  </pic:blipFill>
                  <pic:spPr bwMode="auto">
                    <a:xfrm>
                      <a:off x="0" y="0"/>
                      <a:ext cx="2826050" cy="5234222"/>
                    </a:xfrm>
                    <a:prstGeom prst="rect">
                      <a:avLst/>
                    </a:prstGeom>
                    <a:noFill/>
                    <a:ln>
                      <a:noFill/>
                    </a:ln>
                    <a:extLst>
                      <a:ext uri="{53640926-AAD7-44D8-BBD7-CCE9431645EC}">
                        <a14:shadowObscured xmlns:a14="http://schemas.microsoft.com/office/drawing/2010/main"/>
                      </a:ext>
                    </a:extLst>
                  </pic:spPr>
                </pic:pic>
              </a:graphicData>
            </a:graphic>
          </wp:inline>
        </w:drawing>
      </w:r>
    </w:p>
    <w:p w14:paraId="539BA236" w14:textId="77D2340C" w:rsidR="00904AE0" w:rsidRDefault="001C0F21">
      <w:r>
        <w:t xml:space="preserve">Figure </w:t>
      </w:r>
      <w:r w:rsidR="00AF54D7">
        <w:t>S</w:t>
      </w:r>
      <w:r w:rsidR="00A669AC">
        <w:t>1</w:t>
      </w:r>
      <w:r w:rsidR="00D17391">
        <w:t>0</w:t>
      </w:r>
    </w:p>
    <w:p w14:paraId="0B6365FD" w14:textId="13C6D8DC" w:rsidR="000E281B" w:rsidRDefault="001C0F21" w:rsidP="001C0F21">
      <w:proofErr w:type="gramStart"/>
      <w:r>
        <w:t>Stokes and anti-Stokes Raman raw spectra.</w:t>
      </w:r>
      <w:proofErr w:type="gramEnd"/>
      <w:r>
        <w:t xml:space="preserve"> </w:t>
      </w:r>
      <w:proofErr w:type="gramStart"/>
      <w:r>
        <w:t>Echinenone in methanol.</w:t>
      </w:r>
      <w:proofErr w:type="gramEnd"/>
      <w:r>
        <w:t xml:space="preserve"> Spectra are not </w:t>
      </w:r>
      <w:r w:rsidR="003C3A10">
        <w:t>GVD corrected</w:t>
      </w:r>
      <w:r>
        <w:t xml:space="preserve">. </w:t>
      </w:r>
      <w:r w:rsidRPr="001C0F21">
        <w:t xml:space="preserve">The </w:t>
      </w:r>
      <w:r>
        <w:t xml:space="preserve">Raman </w:t>
      </w:r>
      <w:r w:rsidRPr="001C0F21">
        <w:t>spectra amplitudes from a delay of 0.186</w:t>
      </w:r>
      <w:r>
        <w:t xml:space="preserve"> </w:t>
      </w:r>
      <w:proofErr w:type="spellStart"/>
      <w:r>
        <w:t>ps</w:t>
      </w:r>
      <w:proofErr w:type="spellEnd"/>
      <w:r w:rsidRPr="001C0F21">
        <w:t xml:space="preserve"> up to 20 </w:t>
      </w:r>
      <w:proofErr w:type="spellStart"/>
      <w:r w:rsidRPr="001C0F21">
        <w:t>ps</w:t>
      </w:r>
      <w:proofErr w:type="spellEnd"/>
      <w:r w:rsidRPr="001C0F21">
        <w:t xml:space="preserve"> were tripled for better visualization.</w:t>
      </w:r>
    </w:p>
    <w:p w14:paraId="61DC51F8" w14:textId="77777777" w:rsidR="000E281B" w:rsidRDefault="000E281B">
      <w:r>
        <w:br w:type="page"/>
      </w:r>
    </w:p>
    <w:p w14:paraId="4D939F9D" w14:textId="2DB6976D" w:rsidR="000E281B" w:rsidRDefault="000E281B" w:rsidP="001C0F21">
      <w:r>
        <w:rPr>
          <w:noProof/>
        </w:rPr>
        <w:lastRenderedPageBreak/>
        <w:drawing>
          <wp:inline distT="0" distB="0" distL="0" distR="0" wp14:anchorId="3B2251B0" wp14:editId="143A924D">
            <wp:extent cx="2925643" cy="4230131"/>
            <wp:effectExtent l="0" t="0" r="8255" b="0"/>
            <wp:docPr id="1177995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5912" t="4346" r="62712"/>
                    <a:stretch/>
                  </pic:blipFill>
                  <pic:spPr bwMode="auto">
                    <a:xfrm>
                      <a:off x="0" y="0"/>
                      <a:ext cx="2945033" cy="42581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AB5109D" wp14:editId="26254000">
            <wp:extent cx="2897109" cy="4026563"/>
            <wp:effectExtent l="0" t="0" r="0" b="0"/>
            <wp:docPr id="1815814248" name="Picture 4" descr="A graph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14248" name="Picture 4" descr="A graph of a building&#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5306" t="5832" r="62560"/>
                    <a:stretch/>
                  </pic:blipFill>
                  <pic:spPr bwMode="auto">
                    <a:xfrm>
                      <a:off x="0" y="0"/>
                      <a:ext cx="2897587" cy="4027227"/>
                    </a:xfrm>
                    <a:prstGeom prst="rect">
                      <a:avLst/>
                    </a:prstGeom>
                    <a:noFill/>
                    <a:ln>
                      <a:noFill/>
                    </a:ln>
                    <a:extLst>
                      <a:ext uri="{53640926-AAD7-44D8-BBD7-CCE9431645EC}">
                        <a14:shadowObscured xmlns:a14="http://schemas.microsoft.com/office/drawing/2010/main"/>
                      </a:ext>
                    </a:extLst>
                  </pic:spPr>
                </pic:pic>
              </a:graphicData>
            </a:graphic>
          </wp:inline>
        </w:drawing>
      </w:r>
    </w:p>
    <w:p w14:paraId="124CEB83" w14:textId="30D7C5E5" w:rsidR="000E281B" w:rsidRDefault="000E281B" w:rsidP="000E281B">
      <w:r>
        <w:t xml:space="preserve">Figure </w:t>
      </w:r>
      <w:r w:rsidR="00AF54D7">
        <w:t>S1</w:t>
      </w:r>
      <w:r w:rsidR="00D17391">
        <w:t>1</w:t>
      </w:r>
    </w:p>
    <w:p w14:paraId="2BF3BA36" w14:textId="408FBC00" w:rsidR="000E281B" w:rsidRDefault="000E281B" w:rsidP="000E281B">
      <w:r>
        <w:t xml:space="preserve">TA spectra. </w:t>
      </w:r>
      <w:proofErr w:type="gramStart"/>
      <w:r>
        <w:t>Echinenone in methanol.</w:t>
      </w:r>
      <w:proofErr w:type="gramEnd"/>
      <w:r>
        <w:t xml:space="preserve"> Data are not </w:t>
      </w:r>
      <w:r w:rsidR="003C3A10">
        <w:t>GVD corrected</w:t>
      </w:r>
      <w:r>
        <w:t xml:space="preserve">. </w:t>
      </w:r>
    </w:p>
    <w:p w14:paraId="5E54B844" w14:textId="77777777" w:rsidR="000E281B" w:rsidRDefault="000E281B">
      <w:r>
        <w:br w:type="page"/>
      </w:r>
    </w:p>
    <w:p w14:paraId="384A42F3" w14:textId="014F6347" w:rsidR="00904AE0" w:rsidRDefault="00904AE0">
      <w:r>
        <w:rPr>
          <w:noProof/>
        </w:rPr>
        <w:lastRenderedPageBreak/>
        <w:drawing>
          <wp:inline distT="0" distB="0" distL="0" distR="0" wp14:anchorId="5A3BDFC5" wp14:editId="4D94E79F">
            <wp:extent cx="2874151" cy="5322920"/>
            <wp:effectExtent l="0" t="0" r="2540" b="0"/>
            <wp:docPr id="364280598"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80598" name="Picture 5" descr="A close-up of a graph&#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388" t="6786" r="63923" b="2667"/>
                    <a:stretch/>
                  </pic:blipFill>
                  <pic:spPr bwMode="auto">
                    <a:xfrm>
                      <a:off x="0" y="0"/>
                      <a:ext cx="2877705" cy="5329502"/>
                    </a:xfrm>
                    <a:prstGeom prst="rect">
                      <a:avLst/>
                    </a:prstGeom>
                    <a:noFill/>
                    <a:ln>
                      <a:noFill/>
                    </a:ln>
                    <a:extLst>
                      <a:ext uri="{53640926-AAD7-44D8-BBD7-CCE9431645EC}">
                        <a14:shadowObscured xmlns:a14="http://schemas.microsoft.com/office/drawing/2010/main"/>
                      </a:ext>
                    </a:extLst>
                  </pic:spPr>
                </pic:pic>
              </a:graphicData>
            </a:graphic>
          </wp:inline>
        </w:drawing>
      </w:r>
      <w:r w:rsidR="00E25A0F" w:rsidRPr="00E25A0F">
        <w:t xml:space="preserve"> </w:t>
      </w:r>
      <w:r w:rsidR="00E25A0F">
        <w:rPr>
          <w:noProof/>
        </w:rPr>
        <w:drawing>
          <wp:inline distT="0" distB="0" distL="0" distR="0" wp14:anchorId="4060ABA7" wp14:editId="26F62FCF">
            <wp:extent cx="2948405" cy="5359583"/>
            <wp:effectExtent l="0" t="0" r="4445" b="0"/>
            <wp:docPr id="1994159532" name="Picture 9"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59532" name="Picture 9" descr="A close-up of a graph&#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86" t="6584" r="63773" b="3515"/>
                    <a:stretch/>
                  </pic:blipFill>
                  <pic:spPr bwMode="auto">
                    <a:xfrm>
                      <a:off x="0" y="0"/>
                      <a:ext cx="2949096" cy="5360839"/>
                    </a:xfrm>
                    <a:prstGeom prst="rect">
                      <a:avLst/>
                    </a:prstGeom>
                    <a:noFill/>
                    <a:ln>
                      <a:noFill/>
                    </a:ln>
                    <a:extLst>
                      <a:ext uri="{53640926-AAD7-44D8-BBD7-CCE9431645EC}">
                        <a14:shadowObscured xmlns:a14="http://schemas.microsoft.com/office/drawing/2010/main"/>
                      </a:ext>
                    </a:extLst>
                  </pic:spPr>
                </pic:pic>
              </a:graphicData>
            </a:graphic>
          </wp:inline>
        </w:drawing>
      </w:r>
    </w:p>
    <w:p w14:paraId="17FDDCBB" w14:textId="17D5A57A" w:rsidR="001C0F21" w:rsidRDefault="001C0F21" w:rsidP="001C0F21">
      <w:r>
        <w:t xml:space="preserve">Figure </w:t>
      </w:r>
      <w:r w:rsidR="00AF54D7">
        <w:t>S1</w:t>
      </w:r>
      <w:r w:rsidR="00D17391">
        <w:t>2</w:t>
      </w:r>
    </w:p>
    <w:p w14:paraId="0109AF87" w14:textId="528F540A" w:rsidR="000E281B" w:rsidRDefault="001C0F21" w:rsidP="001C0F21">
      <w:proofErr w:type="gramStart"/>
      <w:r>
        <w:t>Stokes and anti-Stokes Raman raw spectra, TA spectra.</w:t>
      </w:r>
      <w:proofErr w:type="gramEnd"/>
      <w:r>
        <w:t xml:space="preserve"> </w:t>
      </w:r>
      <w:proofErr w:type="gramStart"/>
      <w:r>
        <w:t>Echinenone in acetonitrile.</w:t>
      </w:r>
      <w:proofErr w:type="gramEnd"/>
      <w:r>
        <w:t xml:space="preserve"> Spectra are not </w:t>
      </w:r>
      <w:r w:rsidR="00993E2E">
        <w:t>GVD corrected</w:t>
      </w:r>
      <w:r>
        <w:t xml:space="preserve">. </w:t>
      </w:r>
    </w:p>
    <w:p w14:paraId="7E67FA91" w14:textId="543321CC" w:rsidR="000E281B" w:rsidRDefault="000E281B">
      <w:r>
        <w:br w:type="page"/>
      </w:r>
    </w:p>
    <w:p w14:paraId="48A46547" w14:textId="40D9BC0E" w:rsidR="000E281B" w:rsidRDefault="000E281B">
      <w:r>
        <w:rPr>
          <w:noProof/>
        </w:rPr>
        <w:lastRenderedPageBreak/>
        <w:drawing>
          <wp:inline distT="0" distB="0" distL="0" distR="0" wp14:anchorId="760EC668" wp14:editId="0357D361">
            <wp:extent cx="2616452" cy="3880070"/>
            <wp:effectExtent l="0" t="0" r="0" b="6350"/>
            <wp:docPr id="1251467525" name="Picture 5"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67525" name="Picture 5" descr="A white background with black tex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5609" r="62409"/>
                    <a:stretch/>
                  </pic:blipFill>
                  <pic:spPr bwMode="auto">
                    <a:xfrm>
                      <a:off x="0" y="0"/>
                      <a:ext cx="2623944" cy="3891180"/>
                    </a:xfrm>
                    <a:prstGeom prst="rect">
                      <a:avLst/>
                    </a:prstGeom>
                    <a:noFill/>
                    <a:ln>
                      <a:noFill/>
                    </a:ln>
                    <a:extLst>
                      <a:ext uri="{53640926-AAD7-44D8-BBD7-CCE9431645EC}">
                        <a14:shadowObscured xmlns:a14="http://schemas.microsoft.com/office/drawing/2010/main"/>
                      </a:ext>
                    </a:extLst>
                  </pic:spPr>
                </pic:pic>
              </a:graphicData>
            </a:graphic>
          </wp:inline>
        </w:drawing>
      </w:r>
      <w:r w:rsidRPr="000E281B">
        <w:t xml:space="preserve"> </w:t>
      </w:r>
      <w:r>
        <w:rPr>
          <w:noProof/>
        </w:rPr>
        <w:drawing>
          <wp:inline distT="0" distB="0" distL="0" distR="0" wp14:anchorId="49514EFF" wp14:editId="3D4951F3">
            <wp:extent cx="2634559" cy="3834215"/>
            <wp:effectExtent l="0" t="0" r="0" b="0"/>
            <wp:docPr id="149226933" name="Picture 6" descr="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6933" name="Picture 6" descr="A graph of a person&#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5003" r="62409"/>
                    <a:stretch/>
                  </pic:blipFill>
                  <pic:spPr bwMode="auto">
                    <a:xfrm>
                      <a:off x="0" y="0"/>
                      <a:ext cx="2649392" cy="3855803"/>
                    </a:xfrm>
                    <a:prstGeom prst="rect">
                      <a:avLst/>
                    </a:prstGeom>
                    <a:noFill/>
                    <a:ln>
                      <a:noFill/>
                    </a:ln>
                    <a:extLst>
                      <a:ext uri="{53640926-AAD7-44D8-BBD7-CCE9431645EC}">
                        <a14:shadowObscured xmlns:a14="http://schemas.microsoft.com/office/drawing/2010/main"/>
                      </a:ext>
                    </a:extLst>
                  </pic:spPr>
                </pic:pic>
              </a:graphicData>
            </a:graphic>
          </wp:inline>
        </w:drawing>
      </w:r>
    </w:p>
    <w:p w14:paraId="28EAD67C" w14:textId="77777777" w:rsidR="000E281B" w:rsidRDefault="000E281B"/>
    <w:p w14:paraId="72CEADEE" w14:textId="1ACE04D4" w:rsidR="000E281B" w:rsidRDefault="000E281B" w:rsidP="000E281B">
      <w:r>
        <w:t xml:space="preserve">Figure </w:t>
      </w:r>
      <w:r w:rsidR="00AF54D7">
        <w:t>S1</w:t>
      </w:r>
      <w:r w:rsidR="00D17391">
        <w:t>3</w:t>
      </w:r>
    </w:p>
    <w:p w14:paraId="7DF38828" w14:textId="6BD922FF" w:rsidR="000E281B" w:rsidRDefault="000E281B" w:rsidP="000E281B">
      <w:r>
        <w:t xml:space="preserve">TA spectra. </w:t>
      </w:r>
      <w:proofErr w:type="gramStart"/>
      <w:r>
        <w:t>Echinenone in acetonitrile.</w:t>
      </w:r>
      <w:proofErr w:type="gramEnd"/>
      <w:r>
        <w:t xml:space="preserve"> Data are not </w:t>
      </w:r>
      <w:r w:rsidR="00993E2E">
        <w:t>GVD corrected</w:t>
      </w:r>
      <w:r>
        <w:t xml:space="preserve">. </w:t>
      </w:r>
    </w:p>
    <w:p w14:paraId="51E223D5" w14:textId="77777777" w:rsidR="001C0F21" w:rsidRDefault="001C0F21" w:rsidP="001C0F21"/>
    <w:p w14:paraId="78919321" w14:textId="3CA679A6" w:rsidR="00904AE0" w:rsidRDefault="00904AE0">
      <w:r>
        <w:rPr>
          <w:noProof/>
        </w:rPr>
        <w:lastRenderedPageBreak/>
        <w:drawing>
          <wp:inline distT="0" distB="0" distL="0" distR="0" wp14:anchorId="3C962EB6" wp14:editId="032D29C6">
            <wp:extent cx="2983230" cy="5546914"/>
            <wp:effectExtent l="0" t="0" r="7620" b="0"/>
            <wp:docPr id="1507002398" name="Picture 9" descr="A black and white image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02398" name="Picture 9" descr="A black and white image of a towe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654" t="6596" r="63923" b="3373"/>
                    <a:stretch/>
                  </pic:blipFill>
                  <pic:spPr bwMode="auto">
                    <a:xfrm>
                      <a:off x="0" y="0"/>
                      <a:ext cx="2994850" cy="55685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9B88DF" wp14:editId="027CA75C">
            <wp:extent cx="2948940" cy="5416158"/>
            <wp:effectExtent l="0" t="0" r="3810" b="0"/>
            <wp:docPr id="983604683" name="Picture 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04683" name="Picture 8" descr="A close-up of a computer scree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523" t="6632" r="63790" b="3576"/>
                    <a:stretch/>
                  </pic:blipFill>
                  <pic:spPr bwMode="auto">
                    <a:xfrm>
                      <a:off x="0" y="0"/>
                      <a:ext cx="2950368" cy="5418781"/>
                    </a:xfrm>
                    <a:prstGeom prst="rect">
                      <a:avLst/>
                    </a:prstGeom>
                    <a:noFill/>
                    <a:ln>
                      <a:noFill/>
                    </a:ln>
                    <a:extLst>
                      <a:ext uri="{53640926-AAD7-44D8-BBD7-CCE9431645EC}">
                        <a14:shadowObscured xmlns:a14="http://schemas.microsoft.com/office/drawing/2010/main"/>
                      </a:ext>
                    </a:extLst>
                  </pic:spPr>
                </pic:pic>
              </a:graphicData>
            </a:graphic>
          </wp:inline>
        </w:drawing>
      </w:r>
    </w:p>
    <w:p w14:paraId="668025E1" w14:textId="77777777" w:rsidR="001C0F21" w:rsidRDefault="001C0F21"/>
    <w:p w14:paraId="3A1DA6D4" w14:textId="35D4E38C" w:rsidR="001C0F21" w:rsidRDefault="001C0F21" w:rsidP="001C0F21">
      <w:r>
        <w:t xml:space="preserve">Figure </w:t>
      </w:r>
      <w:r w:rsidR="00AF54D7">
        <w:t>S1</w:t>
      </w:r>
      <w:r w:rsidR="00D17391">
        <w:t>4</w:t>
      </w:r>
    </w:p>
    <w:p w14:paraId="1E95E5F7" w14:textId="34E77D41" w:rsidR="001C0F21" w:rsidRDefault="001C0F21" w:rsidP="001C0F21">
      <w:proofErr w:type="gramStart"/>
      <w:r>
        <w:t>Stokes and anti-Stokes Raman raw spectra, TA spectra.</w:t>
      </w:r>
      <w:proofErr w:type="gramEnd"/>
      <w:r>
        <w:t xml:space="preserve"> </w:t>
      </w:r>
      <w:proofErr w:type="gramStart"/>
      <w:r>
        <w:t>Echinenone in acetonitrile.</w:t>
      </w:r>
      <w:proofErr w:type="gramEnd"/>
      <w:r>
        <w:t xml:space="preserve"> Spectra are not </w:t>
      </w:r>
      <w:r w:rsidR="00993E2E">
        <w:t>GVD corrected</w:t>
      </w:r>
      <w:r>
        <w:t xml:space="preserve">. </w:t>
      </w:r>
    </w:p>
    <w:p w14:paraId="43309700" w14:textId="2CBE0608" w:rsidR="00E25A0F" w:rsidRDefault="00E25A0F"/>
    <w:p w14:paraId="10FA1941" w14:textId="77777777" w:rsidR="00E25A0F" w:rsidRDefault="00E25A0F">
      <w:r>
        <w:br w:type="page"/>
      </w:r>
    </w:p>
    <w:p w14:paraId="2E667C5F" w14:textId="1B516CD8" w:rsidR="001C0F21" w:rsidRDefault="00E25A0F">
      <w:r>
        <w:rPr>
          <w:noProof/>
        </w:rPr>
        <w:lastRenderedPageBreak/>
        <w:drawing>
          <wp:inline distT="0" distB="0" distL="0" distR="0" wp14:anchorId="46228EB2" wp14:editId="4EA7B757">
            <wp:extent cx="2896712" cy="4421336"/>
            <wp:effectExtent l="0" t="0" r="0" b="0"/>
            <wp:docPr id="1575087105" name="Picture 7"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87105" name="Picture 7" descr="A graph on a white background&#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5154" r="63773"/>
                    <a:stretch/>
                  </pic:blipFill>
                  <pic:spPr bwMode="auto">
                    <a:xfrm>
                      <a:off x="0" y="0"/>
                      <a:ext cx="2911594" cy="4444052"/>
                    </a:xfrm>
                    <a:prstGeom prst="rect">
                      <a:avLst/>
                    </a:prstGeom>
                    <a:noFill/>
                    <a:ln>
                      <a:noFill/>
                    </a:ln>
                    <a:extLst>
                      <a:ext uri="{53640926-AAD7-44D8-BBD7-CCE9431645EC}">
                        <a14:shadowObscured xmlns:a14="http://schemas.microsoft.com/office/drawing/2010/main"/>
                      </a:ext>
                    </a:extLst>
                  </pic:spPr>
                </pic:pic>
              </a:graphicData>
            </a:graphic>
          </wp:inline>
        </w:drawing>
      </w:r>
      <w:r w:rsidRPr="00E25A0F">
        <w:t xml:space="preserve"> </w:t>
      </w:r>
      <w:r>
        <w:rPr>
          <w:noProof/>
        </w:rPr>
        <w:drawing>
          <wp:inline distT="0" distB="0" distL="0" distR="0" wp14:anchorId="17D0BD1C" wp14:editId="5EFD7872">
            <wp:extent cx="2996697" cy="4402043"/>
            <wp:effectExtent l="0" t="0" r="0" b="0"/>
            <wp:docPr id="300142868" name="Picture 8"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42868" name="Picture 8" descr="A close-up of a newspaper&#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r="67714"/>
                    <a:stretch/>
                  </pic:blipFill>
                  <pic:spPr bwMode="auto">
                    <a:xfrm>
                      <a:off x="0" y="0"/>
                      <a:ext cx="3019055" cy="4434886"/>
                    </a:xfrm>
                    <a:prstGeom prst="rect">
                      <a:avLst/>
                    </a:prstGeom>
                    <a:noFill/>
                    <a:ln>
                      <a:noFill/>
                    </a:ln>
                    <a:extLst>
                      <a:ext uri="{53640926-AAD7-44D8-BBD7-CCE9431645EC}">
                        <a14:shadowObscured xmlns:a14="http://schemas.microsoft.com/office/drawing/2010/main"/>
                      </a:ext>
                    </a:extLst>
                  </pic:spPr>
                </pic:pic>
              </a:graphicData>
            </a:graphic>
          </wp:inline>
        </w:drawing>
      </w:r>
    </w:p>
    <w:p w14:paraId="11C4941F" w14:textId="4947DC75" w:rsidR="00E25A0F" w:rsidRDefault="00E25A0F" w:rsidP="00E25A0F">
      <w:r>
        <w:t xml:space="preserve">Figure </w:t>
      </w:r>
      <w:r w:rsidR="00AF54D7">
        <w:t>S1</w:t>
      </w:r>
      <w:r w:rsidR="00D17391">
        <w:t>5</w:t>
      </w:r>
    </w:p>
    <w:p w14:paraId="3D7326EE" w14:textId="69F06DC8" w:rsidR="00E25A0F" w:rsidRDefault="00E25A0F" w:rsidP="00E25A0F">
      <w:r>
        <w:t xml:space="preserve">TA spectra. </w:t>
      </w:r>
      <w:proofErr w:type="spellStart"/>
      <w:r>
        <w:t>OCPo</w:t>
      </w:r>
      <w:proofErr w:type="spellEnd"/>
      <w:r>
        <w:t xml:space="preserve"> WT. Data </w:t>
      </w:r>
      <w:proofErr w:type="gramStart"/>
      <w:r>
        <w:t>are</w:t>
      </w:r>
      <w:proofErr w:type="gramEnd"/>
      <w:r>
        <w:t xml:space="preserve"> not </w:t>
      </w:r>
      <w:r w:rsidR="00993E2E">
        <w:t>GVD corrected</w:t>
      </w:r>
      <w:r>
        <w:t xml:space="preserve">. </w:t>
      </w:r>
    </w:p>
    <w:p w14:paraId="72E33712" w14:textId="5F8DFD39" w:rsidR="00F93D31" w:rsidRDefault="00F93D31"/>
    <w:p w14:paraId="1EF55BFA" w14:textId="77777777" w:rsidR="00A669AC" w:rsidRDefault="00F93D31">
      <w:r>
        <w:br w:type="page"/>
      </w:r>
    </w:p>
    <w:p w14:paraId="51075495" w14:textId="45D641FD" w:rsidR="00F93D31" w:rsidRDefault="00A669AC">
      <w:pPr>
        <w:rPr>
          <w:noProof/>
        </w:rPr>
      </w:pPr>
      <w:r>
        <w:rPr>
          <w:noProof/>
        </w:rPr>
        <w:lastRenderedPageBreak/>
        <w:t xml:space="preserve"> </w:t>
      </w:r>
      <w:r>
        <w:rPr>
          <w:noProof/>
        </w:rPr>
        <w:drawing>
          <wp:inline distT="0" distB="0" distL="0" distR="0" wp14:anchorId="63FC024C" wp14:editId="55F10F20">
            <wp:extent cx="3547872" cy="64739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r.tif"/>
                    <pic:cNvPicPr/>
                  </pic:nvPicPr>
                  <pic:blipFill>
                    <a:blip r:embed="rId32">
                      <a:extLst>
                        <a:ext uri="{28A0092B-C50C-407E-A947-70E740481C1C}">
                          <a14:useLocalDpi xmlns:a14="http://schemas.microsoft.com/office/drawing/2010/main" val="0"/>
                        </a:ext>
                      </a:extLst>
                    </a:blip>
                    <a:stretch>
                      <a:fillRect/>
                    </a:stretch>
                  </pic:blipFill>
                  <pic:spPr>
                    <a:xfrm>
                      <a:off x="0" y="0"/>
                      <a:ext cx="3547872" cy="6473952"/>
                    </a:xfrm>
                    <a:prstGeom prst="rect">
                      <a:avLst/>
                    </a:prstGeom>
                  </pic:spPr>
                </pic:pic>
              </a:graphicData>
            </a:graphic>
          </wp:inline>
        </w:drawing>
      </w:r>
    </w:p>
    <w:p w14:paraId="47AE5B47" w14:textId="77777777" w:rsidR="00A669AC" w:rsidRDefault="00A669AC">
      <w:pPr>
        <w:rPr>
          <w:noProof/>
        </w:rPr>
      </w:pPr>
    </w:p>
    <w:p w14:paraId="06F0A0DE" w14:textId="325F1974" w:rsidR="00A669AC" w:rsidRDefault="00A669AC">
      <w:pPr>
        <w:rPr>
          <w:noProof/>
        </w:rPr>
      </w:pPr>
      <w:r>
        <w:rPr>
          <w:noProof/>
        </w:rPr>
        <w:t>Figure S1</w:t>
      </w:r>
      <w:r w:rsidR="00D17391">
        <w:rPr>
          <w:noProof/>
        </w:rPr>
        <w:t>6</w:t>
      </w:r>
    </w:p>
    <w:p w14:paraId="5858119B" w14:textId="62C12182" w:rsidR="00A669AC" w:rsidRDefault="00A669AC">
      <w:r>
        <w:rPr>
          <w:noProof/>
        </w:rPr>
        <w:t>TA and FSRS spectra of OCPr on fs to ps time scales.</w:t>
      </w:r>
    </w:p>
    <w:p w14:paraId="67F0B4EC" w14:textId="77777777" w:rsidR="00A669AC" w:rsidRDefault="00A669AC"/>
    <w:p w14:paraId="1BDE1F96" w14:textId="336E729E" w:rsidR="00A669AC" w:rsidRDefault="00A669AC">
      <w:r>
        <w:br w:type="page"/>
      </w:r>
    </w:p>
    <w:p w14:paraId="2F2FE8EC" w14:textId="77777777" w:rsidR="00A669AC" w:rsidRDefault="00A669AC"/>
    <w:p w14:paraId="1241F180" w14:textId="325E6C38" w:rsidR="0067643D" w:rsidRPr="0067643D" w:rsidRDefault="00F93D31" w:rsidP="0067643D">
      <w:pPr>
        <w:widowControl w:val="0"/>
        <w:autoSpaceDE w:val="0"/>
        <w:autoSpaceDN w:val="0"/>
        <w:adjustRightInd w:val="0"/>
        <w:spacing w:line="240" w:lineRule="auto"/>
        <w:ind w:left="640" w:hanging="640"/>
        <w:rPr>
          <w:rFonts w:ascii="Calibri" w:hAnsi="Calibri" w:cs="Calibri"/>
          <w:noProof/>
        </w:rPr>
      </w:pPr>
      <w:r>
        <w:fldChar w:fldCharType="begin" w:fldLock="1"/>
      </w:r>
      <w:r>
        <w:instrText xml:space="preserve">ADDIN Mendeley Bibliography CSL_BIBLIOGRAPHY </w:instrText>
      </w:r>
      <w:r>
        <w:fldChar w:fldCharType="separate"/>
      </w:r>
      <w:r w:rsidR="0067643D" w:rsidRPr="0067643D">
        <w:rPr>
          <w:rFonts w:ascii="Calibri" w:hAnsi="Calibri" w:cs="Calibri"/>
          <w:noProof/>
        </w:rPr>
        <w:t>1</w:t>
      </w:r>
      <w:r w:rsidR="0067643D" w:rsidRPr="0067643D">
        <w:rPr>
          <w:rFonts w:ascii="Calibri" w:hAnsi="Calibri" w:cs="Calibri"/>
          <w:noProof/>
        </w:rPr>
        <w:tab/>
        <w:t xml:space="preserve">P. Kukura, R. Mathies and D. W. McCamant, Femtosecond Broadband Stimulated Raman: A New Approach for High-Performance Vibrational Spectroscopy, </w:t>
      </w:r>
      <w:r w:rsidR="0067643D" w:rsidRPr="0067643D">
        <w:rPr>
          <w:rFonts w:ascii="Calibri" w:hAnsi="Calibri" w:cs="Calibri"/>
          <w:i/>
          <w:iCs/>
          <w:noProof/>
        </w:rPr>
        <w:t>Appl. Spectrosc.</w:t>
      </w:r>
      <w:r w:rsidR="0067643D" w:rsidRPr="0067643D">
        <w:rPr>
          <w:rFonts w:ascii="Calibri" w:hAnsi="Calibri" w:cs="Calibri"/>
          <w:noProof/>
        </w:rPr>
        <w:t xml:space="preserve">, 2003, </w:t>
      </w:r>
      <w:r w:rsidR="0067643D" w:rsidRPr="0067643D">
        <w:rPr>
          <w:rFonts w:ascii="Calibri" w:hAnsi="Calibri" w:cs="Calibri"/>
          <w:b/>
          <w:bCs/>
          <w:noProof/>
        </w:rPr>
        <w:t>57</w:t>
      </w:r>
      <w:r w:rsidR="0067643D" w:rsidRPr="0067643D">
        <w:rPr>
          <w:rFonts w:ascii="Calibri" w:hAnsi="Calibri" w:cs="Calibri"/>
          <w:noProof/>
        </w:rPr>
        <w:t>, 1317–1323.</w:t>
      </w:r>
    </w:p>
    <w:p w14:paraId="06DA71C0" w14:textId="77777777" w:rsidR="0067643D" w:rsidRPr="0067643D" w:rsidRDefault="0067643D" w:rsidP="0067643D">
      <w:pPr>
        <w:widowControl w:val="0"/>
        <w:autoSpaceDE w:val="0"/>
        <w:autoSpaceDN w:val="0"/>
        <w:adjustRightInd w:val="0"/>
        <w:spacing w:line="240" w:lineRule="auto"/>
        <w:ind w:left="640" w:hanging="640"/>
        <w:rPr>
          <w:rFonts w:ascii="Calibri" w:hAnsi="Calibri" w:cs="Calibri"/>
          <w:noProof/>
        </w:rPr>
      </w:pPr>
      <w:r w:rsidRPr="0067643D">
        <w:rPr>
          <w:rFonts w:ascii="Calibri" w:hAnsi="Calibri" w:cs="Calibri"/>
          <w:noProof/>
        </w:rPr>
        <w:t>2</w:t>
      </w:r>
      <w:r w:rsidRPr="0067643D">
        <w:rPr>
          <w:rFonts w:ascii="Calibri" w:hAnsi="Calibri" w:cs="Calibri"/>
          <w:noProof/>
        </w:rPr>
        <w:tab/>
        <w:t xml:space="preserve">S. Laimgruber, H. Schachenmayr, B. Schmidt, W. Zinth and P. Gilch, A femtosecond stimulated raman spectrograph for the near ultraviolet, </w:t>
      </w:r>
      <w:r w:rsidRPr="0067643D">
        <w:rPr>
          <w:rFonts w:ascii="Calibri" w:hAnsi="Calibri" w:cs="Calibri"/>
          <w:i/>
          <w:iCs/>
          <w:noProof/>
        </w:rPr>
        <w:t>Appl. Phys. B Lasers Opt.</w:t>
      </w:r>
      <w:r w:rsidRPr="0067643D">
        <w:rPr>
          <w:rFonts w:ascii="Calibri" w:hAnsi="Calibri" w:cs="Calibri"/>
          <w:noProof/>
        </w:rPr>
        <w:t xml:space="preserve">, 2006, </w:t>
      </w:r>
      <w:r w:rsidRPr="0067643D">
        <w:rPr>
          <w:rFonts w:ascii="Calibri" w:hAnsi="Calibri" w:cs="Calibri"/>
          <w:b/>
          <w:bCs/>
          <w:noProof/>
        </w:rPr>
        <w:t>85</w:t>
      </w:r>
      <w:r w:rsidRPr="0067643D">
        <w:rPr>
          <w:rFonts w:ascii="Calibri" w:hAnsi="Calibri" w:cs="Calibri"/>
          <w:noProof/>
        </w:rPr>
        <w:t>, 557–564.</w:t>
      </w:r>
    </w:p>
    <w:p w14:paraId="054A99B6" w14:textId="77777777" w:rsidR="0067643D" w:rsidRPr="0067643D" w:rsidRDefault="0067643D" w:rsidP="0067643D">
      <w:pPr>
        <w:widowControl w:val="0"/>
        <w:autoSpaceDE w:val="0"/>
        <w:autoSpaceDN w:val="0"/>
        <w:adjustRightInd w:val="0"/>
        <w:spacing w:line="240" w:lineRule="auto"/>
        <w:ind w:left="640" w:hanging="640"/>
        <w:rPr>
          <w:rFonts w:ascii="Calibri" w:hAnsi="Calibri" w:cs="Calibri"/>
          <w:noProof/>
        </w:rPr>
      </w:pPr>
      <w:r w:rsidRPr="0067643D">
        <w:rPr>
          <w:rFonts w:ascii="Calibri" w:hAnsi="Calibri" w:cs="Calibri"/>
          <w:noProof/>
        </w:rPr>
        <w:t>3</w:t>
      </w:r>
      <w:r w:rsidRPr="0067643D">
        <w:rPr>
          <w:rFonts w:ascii="Calibri" w:hAnsi="Calibri" w:cs="Calibri"/>
          <w:noProof/>
        </w:rPr>
        <w:tab/>
        <w:t xml:space="preserve">A. L. Dobryakov, O. A. Krohn, M. Quick, I. N. Ioffe and S. A. Kovalenko, Positive and negative signal and line shape in stimulated Raman spectroscopy: Resonance femtosecond Raman spectra of diphenylbutadiene, </w:t>
      </w:r>
      <w:r w:rsidRPr="0067643D">
        <w:rPr>
          <w:rFonts w:ascii="Calibri" w:hAnsi="Calibri" w:cs="Calibri"/>
          <w:i/>
          <w:iCs/>
          <w:noProof/>
        </w:rPr>
        <w:t>J. Chem. Phys.</w:t>
      </w:r>
      <w:r w:rsidRPr="0067643D">
        <w:rPr>
          <w:rFonts w:ascii="Calibri" w:hAnsi="Calibri" w:cs="Calibri"/>
          <w:noProof/>
        </w:rPr>
        <w:t xml:space="preserve">, 2022, </w:t>
      </w:r>
      <w:r w:rsidRPr="0067643D">
        <w:rPr>
          <w:rFonts w:ascii="Calibri" w:hAnsi="Calibri" w:cs="Calibri"/>
          <w:b/>
          <w:bCs/>
          <w:noProof/>
        </w:rPr>
        <w:t>156</w:t>
      </w:r>
      <w:r w:rsidRPr="0067643D">
        <w:rPr>
          <w:rFonts w:ascii="Calibri" w:hAnsi="Calibri" w:cs="Calibri"/>
          <w:noProof/>
        </w:rPr>
        <w:t>, 084304.</w:t>
      </w:r>
    </w:p>
    <w:p w14:paraId="19F78F1F" w14:textId="77777777" w:rsidR="0067643D" w:rsidRPr="0067643D" w:rsidRDefault="0067643D" w:rsidP="0067643D">
      <w:pPr>
        <w:widowControl w:val="0"/>
        <w:autoSpaceDE w:val="0"/>
        <w:autoSpaceDN w:val="0"/>
        <w:adjustRightInd w:val="0"/>
        <w:spacing w:line="240" w:lineRule="auto"/>
        <w:ind w:left="640" w:hanging="640"/>
        <w:rPr>
          <w:rFonts w:ascii="Calibri" w:hAnsi="Calibri" w:cs="Calibri"/>
          <w:noProof/>
        </w:rPr>
      </w:pPr>
      <w:r w:rsidRPr="0067643D">
        <w:rPr>
          <w:rFonts w:ascii="Calibri" w:hAnsi="Calibri" w:cs="Calibri"/>
          <w:noProof/>
        </w:rPr>
        <w:t>4</w:t>
      </w:r>
      <w:r w:rsidRPr="0067643D">
        <w:rPr>
          <w:rFonts w:ascii="Calibri" w:hAnsi="Calibri" w:cs="Calibri"/>
          <w:noProof/>
        </w:rPr>
        <w:tab/>
        <w:t xml:space="preserve">B. G. Oscar, C. Chen, W. Liu, L. Zhu and C. Fang, Dynamic Raman Line Shapes on an Evolving Excited-State Landscape: Insights from Tunable Femtosecond Stimulated Raman Spectroscopy, </w:t>
      </w:r>
      <w:r w:rsidRPr="0067643D">
        <w:rPr>
          <w:rFonts w:ascii="Calibri" w:hAnsi="Calibri" w:cs="Calibri"/>
          <w:i/>
          <w:iCs/>
          <w:noProof/>
        </w:rPr>
        <w:t>J. Phys. Chem. A</w:t>
      </w:r>
      <w:r w:rsidRPr="0067643D">
        <w:rPr>
          <w:rFonts w:ascii="Calibri" w:hAnsi="Calibri" w:cs="Calibri"/>
          <w:noProof/>
        </w:rPr>
        <w:t xml:space="preserve">, 2017, </w:t>
      </w:r>
      <w:r w:rsidRPr="0067643D">
        <w:rPr>
          <w:rFonts w:ascii="Calibri" w:hAnsi="Calibri" w:cs="Calibri"/>
          <w:b/>
          <w:bCs/>
          <w:noProof/>
        </w:rPr>
        <w:t>121</w:t>
      </w:r>
      <w:r w:rsidRPr="0067643D">
        <w:rPr>
          <w:rFonts w:ascii="Calibri" w:hAnsi="Calibri" w:cs="Calibri"/>
          <w:noProof/>
        </w:rPr>
        <w:t>, 5428–5441.</w:t>
      </w:r>
    </w:p>
    <w:p w14:paraId="493A4DFC" w14:textId="77777777" w:rsidR="0067643D" w:rsidRPr="0067643D" w:rsidRDefault="0067643D" w:rsidP="0067643D">
      <w:pPr>
        <w:widowControl w:val="0"/>
        <w:autoSpaceDE w:val="0"/>
        <w:autoSpaceDN w:val="0"/>
        <w:adjustRightInd w:val="0"/>
        <w:spacing w:line="240" w:lineRule="auto"/>
        <w:ind w:left="640" w:hanging="640"/>
        <w:rPr>
          <w:rFonts w:ascii="Calibri" w:hAnsi="Calibri" w:cs="Calibri"/>
          <w:noProof/>
        </w:rPr>
      </w:pPr>
      <w:r w:rsidRPr="0067643D">
        <w:rPr>
          <w:rFonts w:ascii="Calibri" w:hAnsi="Calibri" w:cs="Calibri"/>
          <w:noProof/>
        </w:rPr>
        <w:t>5</w:t>
      </w:r>
      <w:r w:rsidRPr="0067643D">
        <w:rPr>
          <w:rFonts w:ascii="Calibri" w:hAnsi="Calibri" w:cs="Calibri"/>
          <w:noProof/>
        </w:rPr>
        <w:tab/>
        <w:t xml:space="preserve">Y. Guo, M. Feng, Z. Kuang, C. S. Abeywickrama, Y. Pang and A. Xia, Unveiling Solvation Dynamics of Excited and Ground States via Ultrafast Pump–Dump–Probe Spectroscopy, </w:t>
      </w:r>
      <w:r w:rsidRPr="0067643D">
        <w:rPr>
          <w:rFonts w:ascii="Calibri" w:hAnsi="Calibri" w:cs="Calibri"/>
          <w:i/>
          <w:iCs/>
          <w:noProof/>
        </w:rPr>
        <w:t>J. Phys. Chem. B</w:t>
      </w:r>
      <w:r w:rsidRPr="0067643D">
        <w:rPr>
          <w:rFonts w:ascii="Calibri" w:hAnsi="Calibri" w:cs="Calibri"/>
          <w:noProof/>
        </w:rPr>
        <w:t xml:space="preserve">, 2023, </w:t>
      </w:r>
      <w:r w:rsidRPr="0067643D">
        <w:rPr>
          <w:rFonts w:ascii="Calibri" w:hAnsi="Calibri" w:cs="Calibri"/>
          <w:b/>
          <w:bCs/>
          <w:noProof/>
        </w:rPr>
        <w:t>127</w:t>
      </w:r>
      <w:r w:rsidRPr="0067643D">
        <w:rPr>
          <w:rFonts w:ascii="Calibri" w:hAnsi="Calibri" w:cs="Calibri"/>
          <w:noProof/>
        </w:rPr>
        <w:t>, 7764–7771.</w:t>
      </w:r>
    </w:p>
    <w:p w14:paraId="5CCE9F73" w14:textId="77777777" w:rsidR="0067643D" w:rsidRPr="0067643D" w:rsidRDefault="0067643D" w:rsidP="0067643D">
      <w:pPr>
        <w:widowControl w:val="0"/>
        <w:autoSpaceDE w:val="0"/>
        <w:autoSpaceDN w:val="0"/>
        <w:adjustRightInd w:val="0"/>
        <w:spacing w:line="240" w:lineRule="auto"/>
        <w:ind w:left="640" w:hanging="640"/>
        <w:rPr>
          <w:rFonts w:ascii="Calibri" w:hAnsi="Calibri" w:cs="Calibri"/>
          <w:noProof/>
        </w:rPr>
      </w:pPr>
      <w:r w:rsidRPr="0067643D">
        <w:rPr>
          <w:rFonts w:ascii="Calibri" w:hAnsi="Calibri" w:cs="Calibri"/>
          <w:noProof/>
        </w:rPr>
        <w:t>6</w:t>
      </w:r>
      <w:r w:rsidRPr="0067643D">
        <w:rPr>
          <w:rFonts w:ascii="Calibri" w:hAnsi="Calibri" w:cs="Calibri"/>
          <w:noProof/>
        </w:rPr>
        <w:tab/>
        <w:t xml:space="preserve">V. Kuznetsova, M. Fuciman and T. Polívka, Relaxation dynamics of high-energy excited states of carotenoids studied by UV excitation and pump–repump–probe transient absorption spectroscopy, </w:t>
      </w:r>
      <w:r w:rsidRPr="0067643D">
        <w:rPr>
          <w:rFonts w:ascii="Calibri" w:hAnsi="Calibri" w:cs="Calibri"/>
          <w:i/>
          <w:iCs/>
          <w:noProof/>
        </w:rPr>
        <w:t>Phys. Chem. Chem. Phys.</w:t>
      </w:r>
      <w:r w:rsidRPr="0067643D">
        <w:rPr>
          <w:rFonts w:ascii="Calibri" w:hAnsi="Calibri" w:cs="Calibri"/>
          <w:noProof/>
        </w:rPr>
        <w:t xml:space="preserve">, 2023, </w:t>
      </w:r>
      <w:r w:rsidRPr="0067643D">
        <w:rPr>
          <w:rFonts w:ascii="Calibri" w:hAnsi="Calibri" w:cs="Calibri"/>
          <w:b/>
          <w:bCs/>
          <w:noProof/>
        </w:rPr>
        <w:t>25</w:t>
      </w:r>
      <w:r w:rsidRPr="0067643D">
        <w:rPr>
          <w:rFonts w:ascii="Calibri" w:hAnsi="Calibri" w:cs="Calibri"/>
          <w:noProof/>
        </w:rPr>
        <w:t>, 22336–22344.</w:t>
      </w:r>
    </w:p>
    <w:p w14:paraId="7DC7F5FC" w14:textId="77777777" w:rsidR="0067643D" w:rsidRPr="0067643D" w:rsidRDefault="0067643D" w:rsidP="0067643D">
      <w:pPr>
        <w:widowControl w:val="0"/>
        <w:autoSpaceDE w:val="0"/>
        <w:autoSpaceDN w:val="0"/>
        <w:adjustRightInd w:val="0"/>
        <w:spacing w:line="240" w:lineRule="auto"/>
        <w:ind w:left="640" w:hanging="640"/>
        <w:rPr>
          <w:rFonts w:ascii="Calibri" w:hAnsi="Calibri" w:cs="Calibri"/>
          <w:noProof/>
        </w:rPr>
      </w:pPr>
      <w:r w:rsidRPr="0067643D">
        <w:rPr>
          <w:rFonts w:ascii="Calibri" w:hAnsi="Calibri" w:cs="Calibri"/>
          <w:noProof/>
        </w:rPr>
        <w:t>7</w:t>
      </w:r>
      <w:r w:rsidRPr="0067643D">
        <w:rPr>
          <w:rFonts w:ascii="Calibri" w:hAnsi="Calibri" w:cs="Calibri"/>
          <w:noProof/>
        </w:rPr>
        <w:tab/>
        <w:t xml:space="preserve">E. G. Maksimov, M. Moldenhauer, E. A. Shirshin, E. A. Parshina, N. N. Sluchanko, K. E. Klementiev, G. V. Tsoraev, N. N. Tavraz, M. Willoweit, F.-J. Schmitt, J. Breitenbach, G. Sandmann, V. Z. Paschenko, T. Friedrich and A. B. Rubin, A comparative study of three signaling forms of the orange carotenoid protein, </w:t>
      </w:r>
      <w:r w:rsidRPr="0067643D">
        <w:rPr>
          <w:rFonts w:ascii="Calibri" w:hAnsi="Calibri" w:cs="Calibri"/>
          <w:i/>
          <w:iCs/>
          <w:noProof/>
        </w:rPr>
        <w:t>Photosynth. Res.</w:t>
      </w:r>
      <w:r w:rsidRPr="0067643D">
        <w:rPr>
          <w:rFonts w:ascii="Calibri" w:hAnsi="Calibri" w:cs="Calibri"/>
          <w:noProof/>
        </w:rPr>
        <w:t xml:space="preserve">, 2016, </w:t>
      </w:r>
      <w:r w:rsidRPr="0067643D">
        <w:rPr>
          <w:rFonts w:ascii="Calibri" w:hAnsi="Calibri" w:cs="Calibri"/>
          <w:b/>
          <w:bCs/>
          <w:noProof/>
        </w:rPr>
        <w:t>130</w:t>
      </w:r>
      <w:r w:rsidRPr="0067643D">
        <w:rPr>
          <w:rFonts w:ascii="Calibri" w:hAnsi="Calibri" w:cs="Calibri"/>
          <w:noProof/>
        </w:rPr>
        <w:t>, 389–401.</w:t>
      </w:r>
    </w:p>
    <w:p w14:paraId="1E0FCF3C" w14:textId="0FAA8A46" w:rsidR="00E25A0F" w:rsidRDefault="00F93D31">
      <w:r>
        <w:fldChar w:fldCharType="end"/>
      </w:r>
    </w:p>
    <w:sectPr w:rsidR="00E25A0F">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36C73" w14:textId="77777777" w:rsidR="00B34EC2" w:rsidRDefault="00B34EC2" w:rsidP="00062D4A">
      <w:pPr>
        <w:spacing w:after="0" w:line="240" w:lineRule="auto"/>
      </w:pPr>
      <w:r>
        <w:separator/>
      </w:r>
    </w:p>
  </w:endnote>
  <w:endnote w:type="continuationSeparator" w:id="0">
    <w:p w14:paraId="78C6DA5E" w14:textId="77777777" w:rsidR="00B34EC2" w:rsidRDefault="00B34EC2" w:rsidP="0006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E2904" w14:textId="77777777" w:rsidR="00B34EC2" w:rsidRDefault="00B34EC2" w:rsidP="00062D4A">
      <w:pPr>
        <w:spacing w:after="0" w:line="240" w:lineRule="auto"/>
      </w:pPr>
      <w:r>
        <w:separator/>
      </w:r>
    </w:p>
  </w:footnote>
  <w:footnote w:type="continuationSeparator" w:id="0">
    <w:p w14:paraId="25FB507D" w14:textId="77777777" w:rsidR="00B34EC2" w:rsidRDefault="00B34EC2" w:rsidP="00062D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602C"/>
    <w:multiLevelType w:val="multilevel"/>
    <w:tmpl w:val="748A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20173"/>
    <w:multiLevelType w:val="multilevel"/>
    <w:tmpl w:val="B536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6E687C"/>
    <w:multiLevelType w:val="multilevel"/>
    <w:tmpl w:val="7B12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42D"/>
    <w:rsid w:val="000141BF"/>
    <w:rsid w:val="000310C8"/>
    <w:rsid w:val="00031462"/>
    <w:rsid w:val="00041FD7"/>
    <w:rsid w:val="00062D4A"/>
    <w:rsid w:val="000824C2"/>
    <w:rsid w:val="0008356A"/>
    <w:rsid w:val="00096A1C"/>
    <w:rsid w:val="000A0B47"/>
    <w:rsid w:val="000E281B"/>
    <w:rsid w:val="00133845"/>
    <w:rsid w:val="0013436C"/>
    <w:rsid w:val="001439F3"/>
    <w:rsid w:val="001548A8"/>
    <w:rsid w:val="00154E02"/>
    <w:rsid w:val="001577BD"/>
    <w:rsid w:val="00171E6C"/>
    <w:rsid w:val="001863EE"/>
    <w:rsid w:val="001C0F21"/>
    <w:rsid w:val="001D0657"/>
    <w:rsid w:val="002006BE"/>
    <w:rsid w:val="00243272"/>
    <w:rsid w:val="00254D8E"/>
    <w:rsid w:val="0025642D"/>
    <w:rsid w:val="002661B5"/>
    <w:rsid w:val="00270313"/>
    <w:rsid w:val="002C51AD"/>
    <w:rsid w:val="002E6455"/>
    <w:rsid w:val="002F03E5"/>
    <w:rsid w:val="002F77E0"/>
    <w:rsid w:val="003509A0"/>
    <w:rsid w:val="0036100B"/>
    <w:rsid w:val="00366F48"/>
    <w:rsid w:val="00377B88"/>
    <w:rsid w:val="0039737E"/>
    <w:rsid w:val="003A109D"/>
    <w:rsid w:val="003B6806"/>
    <w:rsid w:val="003C3A10"/>
    <w:rsid w:val="003D4112"/>
    <w:rsid w:val="00412D77"/>
    <w:rsid w:val="00467DED"/>
    <w:rsid w:val="004A1A39"/>
    <w:rsid w:val="004B0106"/>
    <w:rsid w:val="004B486B"/>
    <w:rsid w:val="004C6B34"/>
    <w:rsid w:val="004E5C58"/>
    <w:rsid w:val="00513588"/>
    <w:rsid w:val="0051590D"/>
    <w:rsid w:val="00517DCE"/>
    <w:rsid w:val="005307BC"/>
    <w:rsid w:val="00544B65"/>
    <w:rsid w:val="00545D8D"/>
    <w:rsid w:val="00567142"/>
    <w:rsid w:val="005A0538"/>
    <w:rsid w:val="005B437E"/>
    <w:rsid w:val="0064448D"/>
    <w:rsid w:val="006578F8"/>
    <w:rsid w:val="00673457"/>
    <w:rsid w:val="00674BD7"/>
    <w:rsid w:val="0067643D"/>
    <w:rsid w:val="00691511"/>
    <w:rsid w:val="00691633"/>
    <w:rsid w:val="006A453B"/>
    <w:rsid w:val="006C1393"/>
    <w:rsid w:val="006F0AA0"/>
    <w:rsid w:val="006F232E"/>
    <w:rsid w:val="006F2F8C"/>
    <w:rsid w:val="00785158"/>
    <w:rsid w:val="007865D8"/>
    <w:rsid w:val="007870C0"/>
    <w:rsid w:val="007A6FA8"/>
    <w:rsid w:val="007C08A2"/>
    <w:rsid w:val="007C419D"/>
    <w:rsid w:val="007F2531"/>
    <w:rsid w:val="008035D5"/>
    <w:rsid w:val="00807FA5"/>
    <w:rsid w:val="00814910"/>
    <w:rsid w:val="008965B3"/>
    <w:rsid w:val="008E2F3C"/>
    <w:rsid w:val="00904AE0"/>
    <w:rsid w:val="00942FA5"/>
    <w:rsid w:val="00976F64"/>
    <w:rsid w:val="00981FF7"/>
    <w:rsid w:val="009851B8"/>
    <w:rsid w:val="00992B20"/>
    <w:rsid w:val="00993E2E"/>
    <w:rsid w:val="009B2BB3"/>
    <w:rsid w:val="009C4CCE"/>
    <w:rsid w:val="009D3979"/>
    <w:rsid w:val="009D50D4"/>
    <w:rsid w:val="009E33AD"/>
    <w:rsid w:val="009F1E68"/>
    <w:rsid w:val="00A44BA1"/>
    <w:rsid w:val="00A564D5"/>
    <w:rsid w:val="00A669AC"/>
    <w:rsid w:val="00AB43AD"/>
    <w:rsid w:val="00AE234C"/>
    <w:rsid w:val="00AE6F33"/>
    <w:rsid w:val="00AF54D7"/>
    <w:rsid w:val="00B027E1"/>
    <w:rsid w:val="00B032BF"/>
    <w:rsid w:val="00B34EC2"/>
    <w:rsid w:val="00B6000C"/>
    <w:rsid w:val="00B9548D"/>
    <w:rsid w:val="00BB5825"/>
    <w:rsid w:val="00BD1C39"/>
    <w:rsid w:val="00BE3A72"/>
    <w:rsid w:val="00BF2885"/>
    <w:rsid w:val="00BF4208"/>
    <w:rsid w:val="00C039BE"/>
    <w:rsid w:val="00C277A0"/>
    <w:rsid w:val="00C34FC3"/>
    <w:rsid w:val="00C42686"/>
    <w:rsid w:val="00C55C88"/>
    <w:rsid w:val="00C84370"/>
    <w:rsid w:val="00C922AE"/>
    <w:rsid w:val="00CB550C"/>
    <w:rsid w:val="00CF1864"/>
    <w:rsid w:val="00D17391"/>
    <w:rsid w:val="00D2597A"/>
    <w:rsid w:val="00D31D09"/>
    <w:rsid w:val="00D37793"/>
    <w:rsid w:val="00D626F2"/>
    <w:rsid w:val="00D6291B"/>
    <w:rsid w:val="00D82B93"/>
    <w:rsid w:val="00D83BD9"/>
    <w:rsid w:val="00D97C2D"/>
    <w:rsid w:val="00DA3E13"/>
    <w:rsid w:val="00DC75D6"/>
    <w:rsid w:val="00DE13BF"/>
    <w:rsid w:val="00DE62A6"/>
    <w:rsid w:val="00DE6F2C"/>
    <w:rsid w:val="00DF5177"/>
    <w:rsid w:val="00E10878"/>
    <w:rsid w:val="00E25A0F"/>
    <w:rsid w:val="00E5069E"/>
    <w:rsid w:val="00E653B0"/>
    <w:rsid w:val="00ED7E40"/>
    <w:rsid w:val="00EE6707"/>
    <w:rsid w:val="00F11B65"/>
    <w:rsid w:val="00F37324"/>
    <w:rsid w:val="00F4514B"/>
    <w:rsid w:val="00F464B5"/>
    <w:rsid w:val="00F60AB0"/>
    <w:rsid w:val="00F83DAA"/>
    <w:rsid w:val="00F93D31"/>
    <w:rsid w:val="00FB5C93"/>
    <w:rsid w:val="00FE265D"/>
    <w:rsid w:val="00FE7A49"/>
    <w:rsid w:val="00FF4B87"/>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E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03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36100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42D"/>
    <w:rPr>
      <w:rFonts w:ascii="Tahoma" w:hAnsi="Tahoma" w:cs="Tahoma"/>
      <w:sz w:val="16"/>
      <w:szCs w:val="16"/>
    </w:rPr>
  </w:style>
  <w:style w:type="paragraph" w:styleId="Header">
    <w:name w:val="header"/>
    <w:basedOn w:val="Normal"/>
    <w:link w:val="HeaderChar"/>
    <w:uiPriority w:val="99"/>
    <w:unhideWhenUsed/>
    <w:rsid w:val="00062D4A"/>
    <w:pPr>
      <w:tabs>
        <w:tab w:val="center" w:pos="4703"/>
        <w:tab w:val="right" w:pos="9406"/>
      </w:tabs>
      <w:spacing w:after="0" w:line="240" w:lineRule="auto"/>
    </w:pPr>
  </w:style>
  <w:style w:type="character" w:customStyle="1" w:styleId="HeaderChar">
    <w:name w:val="Header Char"/>
    <w:basedOn w:val="DefaultParagraphFont"/>
    <w:link w:val="Header"/>
    <w:uiPriority w:val="99"/>
    <w:rsid w:val="00062D4A"/>
  </w:style>
  <w:style w:type="paragraph" w:styleId="Footer">
    <w:name w:val="footer"/>
    <w:basedOn w:val="Normal"/>
    <w:link w:val="FooterChar"/>
    <w:uiPriority w:val="99"/>
    <w:unhideWhenUsed/>
    <w:rsid w:val="00062D4A"/>
    <w:pPr>
      <w:tabs>
        <w:tab w:val="center" w:pos="4703"/>
        <w:tab w:val="right" w:pos="9406"/>
      </w:tabs>
      <w:spacing w:after="0" w:line="240" w:lineRule="auto"/>
    </w:pPr>
  </w:style>
  <w:style w:type="character" w:customStyle="1" w:styleId="FooterChar">
    <w:name w:val="Footer Char"/>
    <w:basedOn w:val="DefaultParagraphFont"/>
    <w:link w:val="Footer"/>
    <w:uiPriority w:val="99"/>
    <w:rsid w:val="00062D4A"/>
  </w:style>
  <w:style w:type="character" w:customStyle="1" w:styleId="Heading4Char">
    <w:name w:val="Heading 4 Char"/>
    <w:basedOn w:val="DefaultParagraphFont"/>
    <w:link w:val="Heading4"/>
    <w:uiPriority w:val="9"/>
    <w:rsid w:val="0036100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610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100B"/>
    <w:rPr>
      <w:color w:val="0000FF"/>
      <w:u w:val="single"/>
    </w:rPr>
  </w:style>
  <w:style w:type="character" w:customStyle="1" w:styleId="mjx-char">
    <w:name w:val="mjx-char"/>
    <w:basedOn w:val="DefaultParagraphFont"/>
    <w:rsid w:val="0036100B"/>
  </w:style>
  <w:style w:type="character" w:customStyle="1" w:styleId="Heading1Char">
    <w:name w:val="Heading 1 Char"/>
    <w:basedOn w:val="DefaultParagraphFont"/>
    <w:link w:val="Heading1"/>
    <w:uiPriority w:val="9"/>
    <w:rsid w:val="002F03E5"/>
    <w:rPr>
      <w:rFonts w:asciiTheme="majorHAnsi" w:eastAsiaTheme="majorEastAsia" w:hAnsiTheme="majorHAnsi" w:cstheme="majorBidi"/>
      <w:b/>
      <w:bCs/>
      <w:color w:val="365F91" w:themeColor="accent1" w:themeShade="BF"/>
      <w:sz w:val="28"/>
      <w:szCs w:val="28"/>
    </w:rPr>
  </w:style>
  <w:style w:type="character" w:customStyle="1" w:styleId="accordion-tabbedtab-mobile">
    <w:name w:val="accordion-tabbed__tab-mobile"/>
    <w:basedOn w:val="DefaultParagraphFont"/>
    <w:rsid w:val="002F03E5"/>
  </w:style>
  <w:style w:type="character" w:customStyle="1" w:styleId="comma-separator">
    <w:name w:val="comma-separator"/>
    <w:basedOn w:val="DefaultParagraphFont"/>
    <w:rsid w:val="002F03E5"/>
  </w:style>
  <w:style w:type="character" w:customStyle="1" w:styleId="epub-state">
    <w:name w:val="epub-state"/>
    <w:basedOn w:val="DefaultParagraphFont"/>
    <w:rsid w:val="002F03E5"/>
  </w:style>
  <w:style w:type="character" w:customStyle="1" w:styleId="epub-date">
    <w:name w:val="epub-date"/>
    <w:basedOn w:val="DefaultParagraphFont"/>
    <w:rsid w:val="002F03E5"/>
  </w:style>
  <w:style w:type="character" w:customStyle="1" w:styleId="hlfld-title">
    <w:name w:val="hlfld-title"/>
    <w:basedOn w:val="DefaultParagraphFont"/>
    <w:rsid w:val="005A0538"/>
  </w:style>
  <w:style w:type="character" w:customStyle="1" w:styleId="hlfld-contribauthor">
    <w:name w:val="hlfld-contribauthor"/>
    <w:basedOn w:val="DefaultParagraphFont"/>
    <w:rsid w:val="005A0538"/>
  </w:style>
  <w:style w:type="character" w:customStyle="1" w:styleId="author-xref-symbol">
    <w:name w:val="author-xref-symbol"/>
    <w:basedOn w:val="DefaultParagraphFont"/>
    <w:rsid w:val="005A0538"/>
  </w:style>
  <w:style w:type="character" w:customStyle="1" w:styleId="loa-info-orcid">
    <w:name w:val="loa-info-orcid"/>
    <w:basedOn w:val="DefaultParagraphFont"/>
    <w:rsid w:val="005A0538"/>
  </w:style>
  <w:style w:type="character" w:customStyle="1" w:styleId="Title1">
    <w:name w:val="Title1"/>
    <w:basedOn w:val="DefaultParagraphFont"/>
    <w:rsid w:val="005A0538"/>
  </w:style>
  <w:style w:type="character" w:styleId="Strong">
    <w:name w:val="Strong"/>
    <w:basedOn w:val="DefaultParagraphFont"/>
    <w:uiPriority w:val="22"/>
    <w:qFormat/>
    <w:rsid w:val="005A0538"/>
    <w:rPr>
      <w:b/>
      <w:bCs/>
    </w:rPr>
  </w:style>
  <w:style w:type="character" w:customStyle="1" w:styleId="cit-title">
    <w:name w:val="cit-title"/>
    <w:basedOn w:val="DefaultParagraphFont"/>
    <w:rsid w:val="005A0538"/>
  </w:style>
  <w:style w:type="character" w:customStyle="1" w:styleId="cit-year-info">
    <w:name w:val="cit-year-info"/>
    <w:basedOn w:val="DefaultParagraphFont"/>
    <w:rsid w:val="005A0538"/>
  </w:style>
  <w:style w:type="character" w:customStyle="1" w:styleId="cit-volume">
    <w:name w:val="cit-volume"/>
    <w:basedOn w:val="DefaultParagraphFont"/>
    <w:rsid w:val="005A0538"/>
  </w:style>
  <w:style w:type="character" w:customStyle="1" w:styleId="cit-issue">
    <w:name w:val="cit-issue"/>
    <w:basedOn w:val="DefaultParagraphFont"/>
    <w:rsid w:val="005A0538"/>
  </w:style>
  <w:style w:type="character" w:customStyle="1" w:styleId="cit-pagerange">
    <w:name w:val="cit-pagerange"/>
    <w:basedOn w:val="DefaultParagraphFont"/>
    <w:rsid w:val="005A0538"/>
  </w:style>
  <w:style w:type="character" w:customStyle="1" w:styleId="pub-date">
    <w:name w:val="pub-date"/>
    <w:basedOn w:val="DefaultParagraphFont"/>
    <w:rsid w:val="005A0538"/>
  </w:style>
  <w:style w:type="character" w:customStyle="1" w:styleId="date-separator">
    <w:name w:val="date-separator"/>
    <w:basedOn w:val="DefaultParagraphFont"/>
    <w:rsid w:val="005A0538"/>
  </w:style>
  <w:style w:type="character" w:customStyle="1" w:styleId="pub-date-value">
    <w:name w:val="pub-date-value"/>
    <w:basedOn w:val="DefaultParagraphFont"/>
    <w:rsid w:val="005A0538"/>
  </w:style>
  <w:style w:type="paragraph" w:styleId="Revision">
    <w:name w:val="Revision"/>
    <w:hidden/>
    <w:uiPriority w:val="99"/>
    <w:semiHidden/>
    <w:rsid w:val="00CF1864"/>
    <w:pPr>
      <w:spacing w:after="0" w:line="240" w:lineRule="auto"/>
    </w:pPr>
  </w:style>
  <w:style w:type="character" w:styleId="CommentReference">
    <w:name w:val="annotation reference"/>
    <w:basedOn w:val="DefaultParagraphFont"/>
    <w:uiPriority w:val="99"/>
    <w:semiHidden/>
    <w:unhideWhenUsed/>
    <w:rsid w:val="004A1A39"/>
    <w:rPr>
      <w:sz w:val="16"/>
      <w:szCs w:val="16"/>
    </w:rPr>
  </w:style>
  <w:style w:type="paragraph" w:styleId="CommentText">
    <w:name w:val="annotation text"/>
    <w:basedOn w:val="Normal"/>
    <w:link w:val="CommentTextChar"/>
    <w:uiPriority w:val="99"/>
    <w:unhideWhenUsed/>
    <w:rsid w:val="004A1A39"/>
    <w:pPr>
      <w:spacing w:line="240" w:lineRule="auto"/>
    </w:pPr>
    <w:rPr>
      <w:sz w:val="20"/>
      <w:szCs w:val="20"/>
    </w:rPr>
  </w:style>
  <w:style w:type="character" w:customStyle="1" w:styleId="CommentTextChar">
    <w:name w:val="Comment Text Char"/>
    <w:basedOn w:val="DefaultParagraphFont"/>
    <w:link w:val="CommentText"/>
    <w:uiPriority w:val="99"/>
    <w:rsid w:val="004A1A39"/>
    <w:rPr>
      <w:sz w:val="20"/>
      <w:szCs w:val="20"/>
    </w:rPr>
  </w:style>
  <w:style w:type="paragraph" w:styleId="CommentSubject">
    <w:name w:val="annotation subject"/>
    <w:basedOn w:val="CommentText"/>
    <w:next w:val="CommentText"/>
    <w:link w:val="CommentSubjectChar"/>
    <w:uiPriority w:val="99"/>
    <w:semiHidden/>
    <w:unhideWhenUsed/>
    <w:rsid w:val="004A1A39"/>
    <w:rPr>
      <w:b/>
      <w:bCs/>
    </w:rPr>
  </w:style>
  <w:style w:type="character" w:customStyle="1" w:styleId="CommentSubjectChar">
    <w:name w:val="Comment Subject Char"/>
    <w:basedOn w:val="CommentTextChar"/>
    <w:link w:val="CommentSubject"/>
    <w:uiPriority w:val="99"/>
    <w:semiHidden/>
    <w:rsid w:val="004A1A39"/>
    <w:rPr>
      <w:b/>
      <w:bCs/>
      <w:sz w:val="20"/>
      <w:szCs w:val="20"/>
    </w:rPr>
  </w:style>
  <w:style w:type="character" w:customStyle="1" w:styleId="UnresolvedMention1">
    <w:name w:val="Unresolved Mention1"/>
    <w:basedOn w:val="DefaultParagraphFont"/>
    <w:uiPriority w:val="99"/>
    <w:semiHidden/>
    <w:unhideWhenUsed/>
    <w:rsid w:val="00E5069E"/>
    <w:rPr>
      <w:color w:val="605E5C"/>
      <w:shd w:val="clear" w:color="auto" w:fill="E1DFDD"/>
    </w:rPr>
  </w:style>
  <w:style w:type="character" w:customStyle="1" w:styleId="xfontstyle0">
    <w:name w:val="x_fontstyle0"/>
    <w:basedOn w:val="DefaultParagraphFont"/>
    <w:rsid w:val="009D39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03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36100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6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42D"/>
    <w:rPr>
      <w:rFonts w:ascii="Tahoma" w:hAnsi="Tahoma" w:cs="Tahoma"/>
      <w:sz w:val="16"/>
      <w:szCs w:val="16"/>
    </w:rPr>
  </w:style>
  <w:style w:type="paragraph" w:styleId="Header">
    <w:name w:val="header"/>
    <w:basedOn w:val="Normal"/>
    <w:link w:val="HeaderChar"/>
    <w:uiPriority w:val="99"/>
    <w:unhideWhenUsed/>
    <w:rsid w:val="00062D4A"/>
    <w:pPr>
      <w:tabs>
        <w:tab w:val="center" w:pos="4703"/>
        <w:tab w:val="right" w:pos="9406"/>
      </w:tabs>
      <w:spacing w:after="0" w:line="240" w:lineRule="auto"/>
    </w:pPr>
  </w:style>
  <w:style w:type="character" w:customStyle="1" w:styleId="HeaderChar">
    <w:name w:val="Header Char"/>
    <w:basedOn w:val="DefaultParagraphFont"/>
    <w:link w:val="Header"/>
    <w:uiPriority w:val="99"/>
    <w:rsid w:val="00062D4A"/>
  </w:style>
  <w:style w:type="paragraph" w:styleId="Footer">
    <w:name w:val="footer"/>
    <w:basedOn w:val="Normal"/>
    <w:link w:val="FooterChar"/>
    <w:uiPriority w:val="99"/>
    <w:unhideWhenUsed/>
    <w:rsid w:val="00062D4A"/>
    <w:pPr>
      <w:tabs>
        <w:tab w:val="center" w:pos="4703"/>
        <w:tab w:val="right" w:pos="9406"/>
      </w:tabs>
      <w:spacing w:after="0" w:line="240" w:lineRule="auto"/>
    </w:pPr>
  </w:style>
  <w:style w:type="character" w:customStyle="1" w:styleId="FooterChar">
    <w:name w:val="Footer Char"/>
    <w:basedOn w:val="DefaultParagraphFont"/>
    <w:link w:val="Footer"/>
    <w:uiPriority w:val="99"/>
    <w:rsid w:val="00062D4A"/>
  </w:style>
  <w:style w:type="character" w:customStyle="1" w:styleId="Heading4Char">
    <w:name w:val="Heading 4 Char"/>
    <w:basedOn w:val="DefaultParagraphFont"/>
    <w:link w:val="Heading4"/>
    <w:uiPriority w:val="9"/>
    <w:rsid w:val="0036100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610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100B"/>
    <w:rPr>
      <w:color w:val="0000FF"/>
      <w:u w:val="single"/>
    </w:rPr>
  </w:style>
  <w:style w:type="character" w:customStyle="1" w:styleId="mjx-char">
    <w:name w:val="mjx-char"/>
    <w:basedOn w:val="DefaultParagraphFont"/>
    <w:rsid w:val="0036100B"/>
  </w:style>
  <w:style w:type="character" w:customStyle="1" w:styleId="Heading1Char">
    <w:name w:val="Heading 1 Char"/>
    <w:basedOn w:val="DefaultParagraphFont"/>
    <w:link w:val="Heading1"/>
    <w:uiPriority w:val="9"/>
    <w:rsid w:val="002F03E5"/>
    <w:rPr>
      <w:rFonts w:asciiTheme="majorHAnsi" w:eastAsiaTheme="majorEastAsia" w:hAnsiTheme="majorHAnsi" w:cstheme="majorBidi"/>
      <w:b/>
      <w:bCs/>
      <w:color w:val="365F91" w:themeColor="accent1" w:themeShade="BF"/>
      <w:sz w:val="28"/>
      <w:szCs w:val="28"/>
    </w:rPr>
  </w:style>
  <w:style w:type="character" w:customStyle="1" w:styleId="accordion-tabbedtab-mobile">
    <w:name w:val="accordion-tabbed__tab-mobile"/>
    <w:basedOn w:val="DefaultParagraphFont"/>
    <w:rsid w:val="002F03E5"/>
  </w:style>
  <w:style w:type="character" w:customStyle="1" w:styleId="comma-separator">
    <w:name w:val="comma-separator"/>
    <w:basedOn w:val="DefaultParagraphFont"/>
    <w:rsid w:val="002F03E5"/>
  </w:style>
  <w:style w:type="character" w:customStyle="1" w:styleId="epub-state">
    <w:name w:val="epub-state"/>
    <w:basedOn w:val="DefaultParagraphFont"/>
    <w:rsid w:val="002F03E5"/>
  </w:style>
  <w:style w:type="character" w:customStyle="1" w:styleId="epub-date">
    <w:name w:val="epub-date"/>
    <w:basedOn w:val="DefaultParagraphFont"/>
    <w:rsid w:val="002F03E5"/>
  </w:style>
  <w:style w:type="character" w:customStyle="1" w:styleId="hlfld-title">
    <w:name w:val="hlfld-title"/>
    <w:basedOn w:val="DefaultParagraphFont"/>
    <w:rsid w:val="005A0538"/>
  </w:style>
  <w:style w:type="character" w:customStyle="1" w:styleId="hlfld-contribauthor">
    <w:name w:val="hlfld-contribauthor"/>
    <w:basedOn w:val="DefaultParagraphFont"/>
    <w:rsid w:val="005A0538"/>
  </w:style>
  <w:style w:type="character" w:customStyle="1" w:styleId="author-xref-symbol">
    <w:name w:val="author-xref-symbol"/>
    <w:basedOn w:val="DefaultParagraphFont"/>
    <w:rsid w:val="005A0538"/>
  </w:style>
  <w:style w:type="character" w:customStyle="1" w:styleId="loa-info-orcid">
    <w:name w:val="loa-info-orcid"/>
    <w:basedOn w:val="DefaultParagraphFont"/>
    <w:rsid w:val="005A0538"/>
  </w:style>
  <w:style w:type="character" w:customStyle="1" w:styleId="Title1">
    <w:name w:val="Title1"/>
    <w:basedOn w:val="DefaultParagraphFont"/>
    <w:rsid w:val="005A0538"/>
  </w:style>
  <w:style w:type="character" w:styleId="Strong">
    <w:name w:val="Strong"/>
    <w:basedOn w:val="DefaultParagraphFont"/>
    <w:uiPriority w:val="22"/>
    <w:qFormat/>
    <w:rsid w:val="005A0538"/>
    <w:rPr>
      <w:b/>
      <w:bCs/>
    </w:rPr>
  </w:style>
  <w:style w:type="character" w:customStyle="1" w:styleId="cit-title">
    <w:name w:val="cit-title"/>
    <w:basedOn w:val="DefaultParagraphFont"/>
    <w:rsid w:val="005A0538"/>
  </w:style>
  <w:style w:type="character" w:customStyle="1" w:styleId="cit-year-info">
    <w:name w:val="cit-year-info"/>
    <w:basedOn w:val="DefaultParagraphFont"/>
    <w:rsid w:val="005A0538"/>
  </w:style>
  <w:style w:type="character" w:customStyle="1" w:styleId="cit-volume">
    <w:name w:val="cit-volume"/>
    <w:basedOn w:val="DefaultParagraphFont"/>
    <w:rsid w:val="005A0538"/>
  </w:style>
  <w:style w:type="character" w:customStyle="1" w:styleId="cit-issue">
    <w:name w:val="cit-issue"/>
    <w:basedOn w:val="DefaultParagraphFont"/>
    <w:rsid w:val="005A0538"/>
  </w:style>
  <w:style w:type="character" w:customStyle="1" w:styleId="cit-pagerange">
    <w:name w:val="cit-pagerange"/>
    <w:basedOn w:val="DefaultParagraphFont"/>
    <w:rsid w:val="005A0538"/>
  </w:style>
  <w:style w:type="character" w:customStyle="1" w:styleId="pub-date">
    <w:name w:val="pub-date"/>
    <w:basedOn w:val="DefaultParagraphFont"/>
    <w:rsid w:val="005A0538"/>
  </w:style>
  <w:style w:type="character" w:customStyle="1" w:styleId="date-separator">
    <w:name w:val="date-separator"/>
    <w:basedOn w:val="DefaultParagraphFont"/>
    <w:rsid w:val="005A0538"/>
  </w:style>
  <w:style w:type="character" w:customStyle="1" w:styleId="pub-date-value">
    <w:name w:val="pub-date-value"/>
    <w:basedOn w:val="DefaultParagraphFont"/>
    <w:rsid w:val="005A0538"/>
  </w:style>
  <w:style w:type="paragraph" w:styleId="Revision">
    <w:name w:val="Revision"/>
    <w:hidden/>
    <w:uiPriority w:val="99"/>
    <w:semiHidden/>
    <w:rsid w:val="00CF1864"/>
    <w:pPr>
      <w:spacing w:after="0" w:line="240" w:lineRule="auto"/>
    </w:pPr>
  </w:style>
  <w:style w:type="character" w:styleId="CommentReference">
    <w:name w:val="annotation reference"/>
    <w:basedOn w:val="DefaultParagraphFont"/>
    <w:uiPriority w:val="99"/>
    <w:semiHidden/>
    <w:unhideWhenUsed/>
    <w:rsid w:val="004A1A39"/>
    <w:rPr>
      <w:sz w:val="16"/>
      <w:szCs w:val="16"/>
    </w:rPr>
  </w:style>
  <w:style w:type="paragraph" w:styleId="CommentText">
    <w:name w:val="annotation text"/>
    <w:basedOn w:val="Normal"/>
    <w:link w:val="CommentTextChar"/>
    <w:uiPriority w:val="99"/>
    <w:unhideWhenUsed/>
    <w:rsid w:val="004A1A39"/>
    <w:pPr>
      <w:spacing w:line="240" w:lineRule="auto"/>
    </w:pPr>
    <w:rPr>
      <w:sz w:val="20"/>
      <w:szCs w:val="20"/>
    </w:rPr>
  </w:style>
  <w:style w:type="character" w:customStyle="1" w:styleId="CommentTextChar">
    <w:name w:val="Comment Text Char"/>
    <w:basedOn w:val="DefaultParagraphFont"/>
    <w:link w:val="CommentText"/>
    <w:uiPriority w:val="99"/>
    <w:rsid w:val="004A1A39"/>
    <w:rPr>
      <w:sz w:val="20"/>
      <w:szCs w:val="20"/>
    </w:rPr>
  </w:style>
  <w:style w:type="paragraph" w:styleId="CommentSubject">
    <w:name w:val="annotation subject"/>
    <w:basedOn w:val="CommentText"/>
    <w:next w:val="CommentText"/>
    <w:link w:val="CommentSubjectChar"/>
    <w:uiPriority w:val="99"/>
    <w:semiHidden/>
    <w:unhideWhenUsed/>
    <w:rsid w:val="004A1A39"/>
    <w:rPr>
      <w:b/>
      <w:bCs/>
    </w:rPr>
  </w:style>
  <w:style w:type="character" w:customStyle="1" w:styleId="CommentSubjectChar">
    <w:name w:val="Comment Subject Char"/>
    <w:basedOn w:val="CommentTextChar"/>
    <w:link w:val="CommentSubject"/>
    <w:uiPriority w:val="99"/>
    <w:semiHidden/>
    <w:rsid w:val="004A1A39"/>
    <w:rPr>
      <w:b/>
      <w:bCs/>
      <w:sz w:val="20"/>
      <w:szCs w:val="20"/>
    </w:rPr>
  </w:style>
  <w:style w:type="character" w:customStyle="1" w:styleId="UnresolvedMention1">
    <w:name w:val="Unresolved Mention1"/>
    <w:basedOn w:val="DefaultParagraphFont"/>
    <w:uiPriority w:val="99"/>
    <w:semiHidden/>
    <w:unhideWhenUsed/>
    <w:rsid w:val="00E5069E"/>
    <w:rPr>
      <w:color w:val="605E5C"/>
      <w:shd w:val="clear" w:color="auto" w:fill="E1DFDD"/>
    </w:rPr>
  </w:style>
  <w:style w:type="character" w:customStyle="1" w:styleId="xfontstyle0">
    <w:name w:val="x_fontstyle0"/>
    <w:basedOn w:val="DefaultParagraphFont"/>
    <w:rsid w:val="009D3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631">
      <w:bodyDiv w:val="1"/>
      <w:marLeft w:val="0"/>
      <w:marRight w:val="0"/>
      <w:marTop w:val="0"/>
      <w:marBottom w:val="0"/>
      <w:divBdr>
        <w:top w:val="none" w:sz="0" w:space="0" w:color="auto"/>
        <w:left w:val="none" w:sz="0" w:space="0" w:color="auto"/>
        <w:bottom w:val="none" w:sz="0" w:space="0" w:color="auto"/>
        <w:right w:val="none" w:sz="0" w:space="0" w:color="auto"/>
      </w:divBdr>
    </w:div>
    <w:div w:id="233051270">
      <w:bodyDiv w:val="1"/>
      <w:marLeft w:val="0"/>
      <w:marRight w:val="0"/>
      <w:marTop w:val="0"/>
      <w:marBottom w:val="0"/>
      <w:divBdr>
        <w:top w:val="none" w:sz="0" w:space="0" w:color="auto"/>
        <w:left w:val="none" w:sz="0" w:space="0" w:color="auto"/>
        <w:bottom w:val="none" w:sz="0" w:space="0" w:color="auto"/>
        <w:right w:val="none" w:sz="0" w:space="0" w:color="auto"/>
      </w:divBdr>
      <w:divsChild>
        <w:div w:id="1764885522">
          <w:marLeft w:val="0"/>
          <w:marRight w:val="0"/>
          <w:marTop w:val="0"/>
          <w:marBottom w:val="0"/>
          <w:divBdr>
            <w:top w:val="none" w:sz="0" w:space="0" w:color="auto"/>
            <w:left w:val="none" w:sz="0" w:space="0" w:color="auto"/>
            <w:bottom w:val="none" w:sz="0" w:space="0" w:color="auto"/>
            <w:right w:val="none" w:sz="0" w:space="0" w:color="auto"/>
          </w:divBdr>
          <w:divsChild>
            <w:div w:id="1316908953">
              <w:marLeft w:val="0"/>
              <w:marRight w:val="0"/>
              <w:marTop w:val="0"/>
              <w:marBottom w:val="0"/>
              <w:divBdr>
                <w:top w:val="none" w:sz="0" w:space="0" w:color="auto"/>
                <w:left w:val="none" w:sz="0" w:space="0" w:color="auto"/>
                <w:bottom w:val="none" w:sz="0" w:space="0" w:color="auto"/>
                <w:right w:val="none" w:sz="0" w:space="0" w:color="auto"/>
              </w:divBdr>
              <w:divsChild>
                <w:div w:id="1296721656">
                  <w:marLeft w:val="0"/>
                  <w:marRight w:val="0"/>
                  <w:marTop w:val="0"/>
                  <w:marBottom w:val="0"/>
                  <w:divBdr>
                    <w:top w:val="none" w:sz="0" w:space="0" w:color="auto"/>
                    <w:left w:val="none" w:sz="0" w:space="0" w:color="auto"/>
                    <w:bottom w:val="none" w:sz="0" w:space="0" w:color="auto"/>
                    <w:right w:val="none" w:sz="0" w:space="0" w:color="auto"/>
                  </w:divBdr>
                  <w:divsChild>
                    <w:div w:id="17586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4379">
          <w:marLeft w:val="0"/>
          <w:marRight w:val="0"/>
          <w:marTop w:val="0"/>
          <w:marBottom w:val="0"/>
          <w:divBdr>
            <w:top w:val="none" w:sz="0" w:space="0" w:color="auto"/>
            <w:left w:val="none" w:sz="0" w:space="0" w:color="auto"/>
            <w:bottom w:val="none" w:sz="0" w:space="0" w:color="auto"/>
            <w:right w:val="none" w:sz="0" w:space="0" w:color="auto"/>
          </w:divBdr>
          <w:divsChild>
            <w:div w:id="1061292068">
              <w:marLeft w:val="0"/>
              <w:marRight w:val="0"/>
              <w:marTop w:val="0"/>
              <w:marBottom w:val="0"/>
              <w:divBdr>
                <w:top w:val="none" w:sz="0" w:space="0" w:color="auto"/>
                <w:left w:val="none" w:sz="0" w:space="0" w:color="auto"/>
                <w:bottom w:val="none" w:sz="0" w:space="0" w:color="auto"/>
                <w:right w:val="none" w:sz="0" w:space="0" w:color="auto"/>
              </w:divBdr>
            </w:div>
            <w:div w:id="1227187174">
              <w:marLeft w:val="0"/>
              <w:marRight w:val="0"/>
              <w:marTop w:val="0"/>
              <w:marBottom w:val="0"/>
              <w:divBdr>
                <w:top w:val="none" w:sz="0" w:space="0" w:color="auto"/>
                <w:left w:val="none" w:sz="0" w:space="0" w:color="auto"/>
                <w:bottom w:val="none" w:sz="0" w:space="0" w:color="auto"/>
                <w:right w:val="none" w:sz="0" w:space="0" w:color="auto"/>
              </w:divBdr>
            </w:div>
            <w:div w:id="3509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61132">
      <w:bodyDiv w:val="1"/>
      <w:marLeft w:val="0"/>
      <w:marRight w:val="0"/>
      <w:marTop w:val="0"/>
      <w:marBottom w:val="0"/>
      <w:divBdr>
        <w:top w:val="none" w:sz="0" w:space="0" w:color="auto"/>
        <w:left w:val="none" w:sz="0" w:space="0" w:color="auto"/>
        <w:bottom w:val="none" w:sz="0" w:space="0" w:color="auto"/>
        <w:right w:val="none" w:sz="0" w:space="0" w:color="auto"/>
      </w:divBdr>
      <w:divsChild>
        <w:div w:id="487600286">
          <w:marLeft w:val="0"/>
          <w:marRight w:val="0"/>
          <w:marTop w:val="0"/>
          <w:marBottom w:val="0"/>
          <w:divBdr>
            <w:top w:val="none" w:sz="0" w:space="0" w:color="auto"/>
            <w:left w:val="none" w:sz="0" w:space="0" w:color="auto"/>
            <w:bottom w:val="none" w:sz="0" w:space="0" w:color="auto"/>
            <w:right w:val="none" w:sz="0" w:space="0" w:color="auto"/>
          </w:divBdr>
          <w:divsChild>
            <w:div w:id="3836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4777">
      <w:bodyDiv w:val="1"/>
      <w:marLeft w:val="0"/>
      <w:marRight w:val="0"/>
      <w:marTop w:val="0"/>
      <w:marBottom w:val="0"/>
      <w:divBdr>
        <w:top w:val="none" w:sz="0" w:space="0" w:color="auto"/>
        <w:left w:val="none" w:sz="0" w:space="0" w:color="auto"/>
        <w:bottom w:val="none" w:sz="0" w:space="0" w:color="auto"/>
        <w:right w:val="none" w:sz="0" w:space="0" w:color="auto"/>
      </w:divBdr>
      <w:divsChild>
        <w:div w:id="1267737806">
          <w:marLeft w:val="0"/>
          <w:marRight w:val="0"/>
          <w:marTop w:val="0"/>
          <w:marBottom w:val="0"/>
          <w:divBdr>
            <w:top w:val="none" w:sz="0" w:space="0" w:color="auto"/>
            <w:left w:val="none" w:sz="0" w:space="0" w:color="auto"/>
            <w:bottom w:val="none" w:sz="0" w:space="0" w:color="auto"/>
            <w:right w:val="none" w:sz="0" w:space="0" w:color="auto"/>
          </w:divBdr>
          <w:divsChild>
            <w:div w:id="527842023">
              <w:marLeft w:val="0"/>
              <w:marRight w:val="0"/>
              <w:marTop w:val="0"/>
              <w:marBottom w:val="0"/>
              <w:divBdr>
                <w:top w:val="none" w:sz="0" w:space="0" w:color="auto"/>
                <w:left w:val="none" w:sz="0" w:space="0" w:color="auto"/>
                <w:bottom w:val="none" w:sz="0" w:space="0" w:color="auto"/>
                <w:right w:val="none" w:sz="0" w:space="0" w:color="auto"/>
              </w:divBdr>
            </w:div>
          </w:divsChild>
        </w:div>
        <w:div w:id="190384214">
          <w:marLeft w:val="0"/>
          <w:marRight w:val="0"/>
          <w:marTop w:val="0"/>
          <w:marBottom w:val="0"/>
          <w:divBdr>
            <w:top w:val="none" w:sz="0" w:space="0" w:color="auto"/>
            <w:left w:val="none" w:sz="0" w:space="0" w:color="auto"/>
            <w:bottom w:val="none" w:sz="0" w:space="0" w:color="auto"/>
            <w:right w:val="none" w:sz="0" w:space="0" w:color="auto"/>
          </w:divBdr>
          <w:divsChild>
            <w:div w:id="2087606795">
              <w:marLeft w:val="0"/>
              <w:marRight w:val="0"/>
              <w:marTop w:val="0"/>
              <w:marBottom w:val="0"/>
              <w:divBdr>
                <w:top w:val="none" w:sz="0" w:space="0" w:color="auto"/>
                <w:left w:val="none" w:sz="0" w:space="0" w:color="auto"/>
                <w:bottom w:val="none" w:sz="0" w:space="0" w:color="auto"/>
                <w:right w:val="none" w:sz="0" w:space="0" w:color="auto"/>
              </w:divBdr>
              <w:divsChild>
                <w:div w:id="31662384">
                  <w:marLeft w:val="0"/>
                  <w:marRight w:val="0"/>
                  <w:marTop w:val="0"/>
                  <w:marBottom w:val="0"/>
                  <w:divBdr>
                    <w:top w:val="none" w:sz="0" w:space="0" w:color="auto"/>
                    <w:left w:val="none" w:sz="0" w:space="0" w:color="auto"/>
                    <w:bottom w:val="none" w:sz="0" w:space="0" w:color="auto"/>
                    <w:right w:val="none" w:sz="0" w:space="0" w:color="auto"/>
                  </w:divBdr>
                </w:div>
                <w:div w:id="1133521962">
                  <w:marLeft w:val="0"/>
                  <w:marRight w:val="0"/>
                  <w:marTop w:val="0"/>
                  <w:marBottom w:val="0"/>
                  <w:divBdr>
                    <w:top w:val="none" w:sz="0" w:space="0" w:color="auto"/>
                    <w:left w:val="none" w:sz="0" w:space="0" w:color="auto"/>
                    <w:bottom w:val="none" w:sz="0" w:space="0" w:color="auto"/>
                    <w:right w:val="none" w:sz="0" w:space="0" w:color="auto"/>
                  </w:divBdr>
                </w:div>
                <w:div w:id="1463957474">
                  <w:marLeft w:val="0"/>
                  <w:marRight w:val="0"/>
                  <w:marTop w:val="0"/>
                  <w:marBottom w:val="0"/>
                  <w:divBdr>
                    <w:top w:val="none" w:sz="0" w:space="0" w:color="auto"/>
                    <w:left w:val="none" w:sz="0" w:space="0" w:color="auto"/>
                    <w:bottom w:val="none" w:sz="0" w:space="0" w:color="auto"/>
                    <w:right w:val="none" w:sz="0" w:space="0" w:color="auto"/>
                  </w:divBdr>
                </w:div>
                <w:div w:id="33190421">
                  <w:marLeft w:val="0"/>
                  <w:marRight w:val="0"/>
                  <w:marTop w:val="0"/>
                  <w:marBottom w:val="0"/>
                  <w:divBdr>
                    <w:top w:val="none" w:sz="0" w:space="0" w:color="auto"/>
                    <w:left w:val="none" w:sz="0" w:space="0" w:color="auto"/>
                    <w:bottom w:val="none" w:sz="0" w:space="0" w:color="auto"/>
                    <w:right w:val="none" w:sz="0" w:space="0" w:color="auto"/>
                  </w:divBdr>
                </w:div>
                <w:div w:id="323439128">
                  <w:marLeft w:val="0"/>
                  <w:marRight w:val="0"/>
                  <w:marTop w:val="0"/>
                  <w:marBottom w:val="0"/>
                  <w:divBdr>
                    <w:top w:val="none" w:sz="0" w:space="0" w:color="auto"/>
                    <w:left w:val="none" w:sz="0" w:space="0" w:color="auto"/>
                    <w:bottom w:val="none" w:sz="0" w:space="0" w:color="auto"/>
                    <w:right w:val="none" w:sz="0" w:space="0" w:color="auto"/>
                  </w:divBdr>
                  <w:divsChild>
                    <w:div w:id="395327362">
                      <w:marLeft w:val="0"/>
                      <w:marRight w:val="0"/>
                      <w:marTop w:val="0"/>
                      <w:marBottom w:val="0"/>
                      <w:divBdr>
                        <w:top w:val="none" w:sz="0" w:space="0" w:color="auto"/>
                        <w:left w:val="none" w:sz="0" w:space="0" w:color="auto"/>
                        <w:bottom w:val="none" w:sz="0" w:space="0" w:color="auto"/>
                        <w:right w:val="none" w:sz="0" w:space="0" w:color="auto"/>
                      </w:divBdr>
                      <w:divsChild>
                        <w:div w:id="8260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29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E4968-FA3B-4B36-B89F-68E780EA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5571</Words>
  <Characters>31756</Characters>
  <Application>Microsoft Office Word</Application>
  <DocSecurity>0</DocSecurity>
  <Lines>264</Lines>
  <Paragraphs>74</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Kloz Miroslav</dc:creator>
  <cp:lastModifiedBy>Kloz Miroslav</cp:lastModifiedBy>
  <cp:revision>3</cp:revision>
  <dcterms:created xsi:type="dcterms:W3CDTF">2024-04-05T11:11:00Z</dcterms:created>
  <dcterms:modified xsi:type="dcterms:W3CDTF">2024-04-05T11:13:00Z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398a91ab-3811-3049-b36f-7e4d6399f3a4</vt:lpwstr>
  </property>
  <property fmtid="{D5CDD505-2E9C-101B-9397-08002B2CF9AE}" pid="4" name="Mendeley Citation Style_1">
    <vt:lpwstr>http://www.zotero.org/styles/physical-chemistry-chemical-physics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http://www.zotero.org/styles/physical-chemistry-chemical-physics</vt:lpwstr>
  </property>
  <property fmtid="{D5CDD505-2E9C-101B-9397-08002B2CF9AE}" pid="24" name="Mendeley Recent Style Name 9_1">
    <vt:lpwstr>Physical Chemistry Chemical Physics</vt:lpwstr>
  </property>
  <property fmtid="{D5CDD505-2E9C-101B-9397-08002B2CF9AE}" pid="25" name="GrammarlyDocumentId">
    <vt:lpwstr>6277912428d9401010545f464bf16cb095fcd99551decdda7657bb9922e275a8</vt:lpwstr>
  </property>
</Properties>
</file>